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2BFD" w14:textId="77777777" w:rsidR="00981D94" w:rsidRPr="00981D94" w:rsidRDefault="00981D94" w:rsidP="00981D94">
      <w:pPr>
        <w:jc w:val="center"/>
        <w:rPr>
          <w:rFonts w:ascii="Arial" w:hAnsi="Arial" w:cs="Arial"/>
          <w:b/>
          <w:sz w:val="22"/>
          <w:szCs w:val="22"/>
        </w:rPr>
      </w:pPr>
      <w:r w:rsidRPr="00981D94">
        <w:rPr>
          <w:rFonts w:ascii="Arial" w:hAnsi="Arial" w:cs="Arial"/>
          <w:b/>
          <w:sz w:val="22"/>
          <w:szCs w:val="22"/>
        </w:rPr>
        <w:t>ANEXO TÉCNICO No. 1</w:t>
      </w:r>
    </w:p>
    <w:p w14:paraId="2E7A35DE" w14:textId="77777777" w:rsidR="00981D94" w:rsidRPr="00981D94" w:rsidRDefault="00981D94" w:rsidP="00981D9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4"/>
      </w:tblGrid>
      <w:tr w:rsidR="00981D94" w:rsidRPr="00981D94" w14:paraId="05A23F6C" w14:textId="77777777">
        <w:trPr>
          <w:trHeight w:val="924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EE4" w14:textId="77777777" w:rsidR="00981D94" w:rsidRPr="00981D94" w:rsidRDefault="00981D94" w:rsidP="00981D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2111F" w14:textId="77777777" w:rsidR="00981D94" w:rsidRPr="00981D94" w:rsidRDefault="00981D94" w:rsidP="00981D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1D94">
              <w:rPr>
                <w:rFonts w:ascii="Arial" w:hAnsi="Arial" w:cs="Arial"/>
                <w:b/>
                <w:sz w:val="22"/>
                <w:szCs w:val="22"/>
              </w:rPr>
              <w:t xml:space="preserve">FORMATO DE CUESTIONARIO PREVIO A LA ELABORACION DEL ACTO ADMINISTRATIVO QUE DEBE SER DILIGENCIADO POR EL ÁREA TÉCNICA GENERADORA DE LA PROPUESTA  </w:t>
            </w:r>
          </w:p>
          <w:p w14:paraId="08677FE6" w14:textId="77777777" w:rsidR="00981D94" w:rsidRPr="00981D94" w:rsidRDefault="00981D94" w:rsidP="00981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D94" w:rsidRPr="00981D94" w14:paraId="7FB72E59" w14:textId="77777777">
        <w:trPr>
          <w:trHeight w:val="754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3CC" w14:textId="77777777" w:rsidR="00981D94" w:rsidRPr="00981D94" w:rsidRDefault="00981D94" w:rsidP="00981D94">
            <w:pPr>
              <w:ind w:left="-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351079" w14:textId="77777777" w:rsidR="00981D94" w:rsidRPr="00981D94" w:rsidRDefault="00981D94" w:rsidP="00981D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</w:rPr>
            </w:pPr>
            <w:r w:rsidRPr="00981D94">
              <w:rPr>
                <w:rFonts w:ascii="Arial" w:hAnsi="Arial" w:cs="Arial"/>
                <w:b/>
                <w:sz w:val="22"/>
              </w:rPr>
              <w:t xml:space="preserve">¿Cuál es la finalidad del acto administrativo que se va expedir? </w:t>
            </w:r>
          </w:p>
          <w:p w14:paraId="6CC5EA37" w14:textId="77777777" w:rsidR="00981D94" w:rsidRPr="00981D94" w:rsidRDefault="00981D94" w:rsidP="00981D94">
            <w:pPr>
              <w:pStyle w:val="Prrafodelista"/>
              <w:ind w:left="336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81D94" w:rsidRPr="00981D94" w14:paraId="0270987C" w14:textId="77777777">
        <w:trPr>
          <w:trHeight w:val="874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B9A" w14:textId="77777777" w:rsidR="00981D94" w:rsidRDefault="00981D94" w:rsidP="00981D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1E65BE68" w14:textId="77777777" w:rsidR="00520F3C" w:rsidRDefault="00981D94" w:rsidP="003C157F">
            <w:pPr>
              <w:jc w:val="both"/>
              <w:rPr>
                <w:rFonts w:ascii="Arial" w:eastAsia="Arial" w:hAnsi="Arial" w:cs="Arial"/>
                <w:bCs/>
                <w:iCs/>
                <w:sz w:val="22"/>
                <w:szCs w:val="22"/>
              </w:rPr>
            </w:pPr>
            <w:r w:rsidRPr="00040D3B">
              <w:rPr>
                <w:rFonts w:ascii="Arial" w:hAnsi="Arial" w:cs="Arial"/>
                <w:sz w:val="22"/>
                <w:szCs w:val="22"/>
                <w:lang w:val="es-ES"/>
              </w:rPr>
              <w:t xml:space="preserve">El proyecto de resolución </w:t>
            </w:r>
            <w:r w:rsidR="003C157F" w:rsidRPr="00040D3B">
              <w:rPr>
                <w:rFonts w:ascii="Arial" w:hAnsi="Arial" w:cs="Arial"/>
                <w:sz w:val="22"/>
                <w:szCs w:val="22"/>
                <w:lang w:val="es-ES"/>
              </w:rPr>
              <w:t xml:space="preserve">que se adjunta </w:t>
            </w:r>
            <w:r w:rsidRPr="00040D3B">
              <w:rPr>
                <w:rFonts w:ascii="Arial" w:hAnsi="Arial" w:cs="Arial"/>
                <w:sz w:val="22"/>
                <w:szCs w:val="22"/>
                <w:lang w:val="es-ES"/>
              </w:rPr>
              <w:t xml:space="preserve">tiene como </w:t>
            </w:r>
            <w:r w:rsidR="003C157F" w:rsidRPr="00040D3B">
              <w:rPr>
                <w:rFonts w:ascii="Arial" w:hAnsi="Arial" w:cs="Arial"/>
                <w:sz w:val="22"/>
                <w:szCs w:val="22"/>
                <w:lang w:val="es-ES"/>
              </w:rPr>
              <w:t>propósito</w:t>
            </w:r>
            <w:r w:rsidR="00040D3B" w:rsidRPr="00040D3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regular el </w:t>
            </w:r>
            <w:r w:rsidR="00040D3B" w:rsidRPr="00040D3B">
              <w:rPr>
                <w:rFonts w:ascii="Arial" w:eastAsia="Arial" w:hAnsi="Arial" w:cs="Arial"/>
                <w:iCs/>
                <w:sz w:val="22"/>
                <w:szCs w:val="22"/>
              </w:rPr>
              <w:t>registro de negaciones de servicios y tecnologías en salud en los Regímenes Contributivo y Subsidiado, financiados con cargo a la prima UPC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, con el fin de garantizar la generación de información confiable y oportuna sobre la negación de servicios incluidos en el </w:t>
            </w:r>
            <w:r w:rsidR="00040D3B" w:rsidRPr="00040D3B">
              <w:rPr>
                <w:rFonts w:ascii="Arial" w:eastAsia="Arial" w:hAnsi="Arial" w:cs="Arial"/>
                <w:iCs/>
                <w:sz w:val="22"/>
                <w:szCs w:val="22"/>
              </w:rPr>
              <w:t>Plan de Beneficios en Salud (PBS)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, así como de aquellos que, pese a ser autorizados, no sean suministrados conforme a los estándares de oportunidad definidos para su atención</w:t>
            </w:r>
            <w:r w:rsidR="001C27F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; p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ara </w:t>
            </w:r>
            <w:r w:rsidR="001C27F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tal propósito </w:t>
            </w:r>
            <w:r w:rsidR="00F15378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busca 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optimiza</w:t>
            </w:r>
            <w:r w:rsidR="00F15378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r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, ampl</w:t>
            </w:r>
            <w:r w:rsidR="00F15378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i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a</w:t>
            </w:r>
            <w:r w:rsidR="00F15378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r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 y fortalece</w:t>
            </w:r>
            <w:r w:rsidR="00F15378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r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 los mecanismos de </w:t>
            </w:r>
            <w:r w:rsidR="00040D3B" w:rsidRPr="00040D3B">
              <w:rPr>
                <w:rFonts w:ascii="Arial" w:eastAsia="Arial" w:hAnsi="Arial" w:cs="Arial"/>
                <w:iCs/>
                <w:sz w:val="22"/>
                <w:szCs w:val="22"/>
              </w:rPr>
              <w:t>reporte y seguimiento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, </w:t>
            </w:r>
            <w:r w:rsidR="00520F3C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así como 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establece</w:t>
            </w:r>
            <w:r w:rsidR="00520F3C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r los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 criterios para la identificación de </w:t>
            </w:r>
            <w:r w:rsidR="00040D3B" w:rsidRPr="00040D3B">
              <w:rPr>
                <w:rFonts w:ascii="Arial" w:eastAsia="Arial" w:hAnsi="Arial" w:cs="Arial"/>
                <w:iCs/>
                <w:sz w:val="22"/>
                <w:szCs w:val="22"/>
              </w:rPr>
              <w:t>negaciones sin justa causa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 y determina</w:t>
            </w:r>
            <w:r w:rsidR="00520F3C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>r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 el rol de la </w:t>
            </w:r>
            <w:r w:rsidR="00040D3B" w:rsidRPr="00040D3B">
              <w:rPr>
                <w:rFonts w:ascii="Arial" w:eastAsia="Arial" w:hAnsi="Arial" w:cs="Arial"/>
                <w:iCs/>
                <w:sz w:val="22"/>
                <w:szCs w:val="22"/>
              </w:rPr>
              <w:t xml:space="preserve">Superintendencia Nacional de Salud y la ADRES </w:t>
            </w:r>
            <w:r w:rsidR="00040D3B" w:rsidRPr="00040D3B">
              <w:rPr>
                <w:rFonts w:ascii="Arial" w:eastAsia="Arial" w:hAnsi="Arial" w:cs="Arial"/>
                <w:bCs/>
                <w:iCs/>
                <w:sz w:val="22"/>
                <w:szCs w:val="22"/>
              </w:rPr>
              <w:t xml:space="preserve">en la aplicación del procedimiento. </w:t>
            </w:r>
          </w:p>
          <w:p w14:paraId="252B4B95" w14:textId="6EF76C4E" w:rsidR="003C157F" w:rsidRDefault="003C157F" w:rsidP="003C1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419EA9" w14:textId="01C55208" w:rsidR="00981D94" w:rsidRPr="00981D94" w:rsidRDefault="00981D94" w:rsidP="003C157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81D94" w:rsidRPr="00981D94" w14:paraId="626702CF" w14:textId="77777777">
        <w:trPr>
          <w:trHeight w:val="639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D6B" w14:textId="77777777" w:rsidR="00981D94" w:rsidRPr="00981D94" w:rsidRDefault="00981D94" w:rsidP="00981D94">
            <w:pPr>
              <w:ind w:left="-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F06756" w14:textId="77777777" w:rsidR="00981D94" w:rsidRPr="00981D94" w:rsidRDefault="00981D94" w:rsidP="00981D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</w:rPr>
            </w:pPr>
            <w:r w:rsidRPr="00981D94">
              <w:rPr>
                <w:rFonts w:ascii="Arial" w:hAnsi="Arial" w:cs="Arial"/>
                <w:b/>
                <w:sz w:val="22"/>
              </w:rPr>
              <w:t>Identifique la problemática y el objetivo que persigue la emisión del acto administrativo</w:t>
            </w:r>
          </w:p>
          <w:p w14:paraId="66B900F7" w14:textId="77777777" w:rsidR="00981D94" w:rsidRPr="00981D94" w:rsidRDefault="00981D94" w:rsidP="00981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D94" w:rsidRPr="00981D94" w14:paraId="1DCB6EC5" w14:textId="77777777">
        <w:trPr>
          <w:trHeight w:val="1785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9B70" w14:textId="77777777" w:rsidR="00981D94" w:rsidRDefault="00981D94" w:rsidP="00981D94">
            <w:pPr>
              <w:pStyle w:val="CONPESTexto"/>
              <w:spacing w:before="0" w:after="0" w:line="240" w:lineRule="auto"/>
              <w:ind w:firstLine="0"/>
              <w:rPr>
                <w:rFonts w:ascii="Arial" w:hAnsi="Arial" w:cs="Arial"/>
                <w:color w:val="auto"/>
                <w:szCs w:val="22"/>
              </w:rPr>
            </w:pPr>
          </w:p>
          <w:p w14:paraId="6AB1DF3D" w14:textId="77777777" w:rsidR="00CE575C" w:rsidRDefault="00752101" w:rsidP="00981D94">
            <w:pPr>
              <w:pStyle w:val="CONPESTexto"/>
              <w:spacing w:before="0" w:after="0" w:line="240" w:lineRule="auto"/>
              <w:ind w:firstLine="0"/>
              <w:rPr>
                <w:rFonts w:ascii="Arial" w:eastAsia="Arial" w:hAnsi="Arial" w:cs="Arial"/>
                <w:i/>
                <w:szCs w:val="22"/>
              </w:rPr>
            </w:pPr>
            <w:r>
              <w:rPr>
                <w:rFonts w:ascii="Arial" w:eastAsia="Arial" w:hAnsi="Arial" w:cs="Arial"/>
                <w:bCs/>
                <w:iCs/>
                <w:szCs w:val="22"/>
              </w:rPr>
              <w:t xml:space="preserve">El acto administrativo </w:t>
            </w:r>
            <w:r w:rsidR="000A7A02">
              <w:rPr>
                <w:rFonts w:ascii="Arial" w:eastAsia="Arial" w:hAnsi="Arial" w:cs="Arial"/>
                <w:bCs/>
                <w:iCs/>
                <w:szCs w:val="22"/>
              </w:rPr>
              <w:t xml:space="preserve">que se pretende 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>exp</w:t>
            </w:r>
            <w:r w:rsidR="000A7A02">
              <w:rPr>
                <w:rFonts w:ascii="Arial" w:eastAsia="Arial" w:hAnsi="Arial" w:cs="Arial"/>
                <w:bCs/>
                <w:iCs/>
                <w:szCs w:val="22"/>
              </w:rPr>
              <w:t>e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>d</w:t>
            </w:r>
            <w:r w:rsidR="000A7A02">
              <w:rPr>
                <w:rFonts w:ascii="Arial" w:eastAsia="Arial" w:hAnsi="Arial" w:cs="Arial"/>
                <w:bCs/>
                <w:iCs/>
                <w:szCs w:val="22"/>
              </w:rPr>
              <w:t xml:space="preserve">ir es principalmente para dar 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 xml:space="preserve">cumplimiento </w:t>
            </w:r>
            <w:r w:rsidR="000A7A02">
              <w:rPr>
                <w:rFonts w:ascii="Arial" w:eastAsia="Arial" w:hAnsi="Arial" w:cs="Arial"/>
                <w:bCs/>
                <w:iCs/>
                <w:szCs w:val="22"/>
              </w:rPr>
              <w:t xml:space="preserve">a lo requerido por la Corte Constitucional en 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 xml:space="preserve">la </w:t>
            </w:r>
            <w:r w:rsidR="00F439BC" w:rsidRPr="00F6456E">
              <w:rPr>
                <w:rFonts w:ascii="Arial" w:eastAsia="Arial" w:hAnsi="Arial" w:cs="Arial"/>
                <w:iCs/>
                <w:szCs w:val="22"/>
              </w:rPr>
              <w:t>orden decimonovena (19) de la Sentencia T-760 de 2008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 xml:space="preserve"> y sus autos de seguimiento, principalmente el Auto 005 de 2024 y el Auto del 20 de marzo de 2025 notificado </w:t>
            </w:r>
            <w:r w:rsidR="00F439BC">
              <w:rPr>
                <w:rFonts w:ascii="Arial" w:eastAsia="Arial" w:hAnsi="Arial" w:cs="Arial"/>
                <w:bCs/>
                <w:iCs/>
                <w:szCs w:val="22"/>
              </w:rPr>
              <w:t xml:space="preserve">a esta Cartera Ministerial 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 xml:space="preserve">el </w:t>
            </w:r>
            <w:r w:rsidR="00F439BC">
              <w:rPr>
                <w:rFonts w:ascii="Arial" w:eastAsia="Arial" w:hAnsi="Arial" w:cs="Arial"/>
                <w:bCs/>
                <w:iCs/>
                <w:szCs w:val="22"/>
              </w:rPr>
              <w:t xml:space="preserve">día 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 xml:space="preserve">26 del mismo mes y año, lo </w:t>
            </w:r>
            <w:r w:rsidR="002D4BD0">
              <w:rPr>
                <w:rFonts w:ascii="Arial" w:eastAsia="Arial" w:hAnsi="Arial" w:cs="Arial"/>
                <w:bCs/>
                <w:iCs/>
                <w:szCs w:val="22"/>
              </w:rPr>
              <w:t xml:space="preserve">cual debería 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>conlleva</w:t>
            </w:r>
            <w:r w:rsidR="002D4BD0">
              <w:rPr>
                <w:rFonts w:ascii="Arial" w:eastAsia="Arial" w:hAnsi="Arial" w:cs="Arial"/>
                <w:bCs/>
                <w:iCs/>
                <w:szCs w:val="22"/>
              </w:rPr>
              <w:t>r</w:t>
            </w:r>
            <w:r w:rsidR="00F439BC" w:rsidRPr="00F6456E">
              <w:rPr>
                <w:rFonts w:ascii="Arial" w:eastAsia="Arial" w:hAnsi="Arial" w:cs="Arial"/>
                <w:bCs/>
                <w:iCs/>
                <w:szCs w:val="22"/>
              </w:rPr>
              <w:t xml:space="preserve"> a la </w:t>
            </w:r>
            <w:r w:rsidR="00F439BC" w:rsidRPr="00F6456E">
              <w:rPr>
                <w:rFonts w:ascii="Arial" w:eastAsia="Arial" w:hAnsi="Arial" w:cs="Arial"/>
                <w:iCs/>
                <w:szCs w:val="22"/>
              </w:rPr>
              <w:t xml:space="preserve">derogatoria de la Resolución 3539 de 2019: </w:t>
            </w:r>
            <w:r w:rsidR="00F439BC" w:rsidRPr="00F6456E">
              <w:rPr>
                <w:rFonts w:ascii="Arial" w:eastAsia="Arial" w:hAnsi="Arial" w:cs="Arial"/>
                <w:i/>
                <w:szCs w:val="22"/>
              </w:rPr>
              <w:t>“</w:t>
            </w:r>
            <w:r w:rsidR="00F439BC" w:rsidRPr="00F6456E">
              <w:rPr>
                <w:rFonts w:ascii="Arial" w:hAnsi="Arial" w:cs="Arial"/>
                <w:i/>
                <w:szCs w:val="22"/>
              </w:rPr>
              <w:t>Por la cual se adopta el instrumento para que las entidades responsables del aseguramiento en salud de los Regímenes Contributivo y Subsidiado, reporten los servicios y tecnologías en salud ordenados por el médico tratante, que sean negados y se modifica la Resolución 256 de 2016</w:t>
            </w:r>
            <w:r w:rsidR="00F439BC" w:rsidRPr="00F6456E">
              <w:rPr>
                <w:rFonts w:ascii="Arial" w:eastAsia="Arial" w:hAnsi="Arial" w:cs="Arial"/>
                <w:i/>
                <w:szCs w:val="22"/>
              </w:rPr>
              <w:t>”</w:t>
            </w:r>
            <w:r w:rsidR="00CE575C">
              <w:rPr>
                <w:rFonts w:ascii="Arial" w:eastAsia="Arial" w:hAnsi="Arial" w:cs="Arial"/>
                <w:i/>
                <w:szCs w:val="22"/>
              </w:rPr>
              <w:t>.</w:t>
            </w:r>
          </w:p>
          <w:p w14:paraId="2F621F27" w14:textId="77777777" w:rsidR="00CE575C" w:rsidRDefault="00CE575C" w:rsidP="00981D94">
            <w:pPr>
              <w:pStyle w:val="CONPESTexto"/>
              <w:spacing w:before="0" w:after="0" w:line="240" w:lineRule="auto"/>
              <w:ind w:firstLine="0"/>
              <w:rPr>
                <w:rFonts w:ascii="Arial" w:eastAsia="Arial" w:hAnsi="Arial" w:cs="Arial"/>
                <w:i/>
                <w:szCs w:val="22"/>
              </w:rPr>
            </w:pPr>
          </w:p>
          <w:p w14:paraId="57FBF22C" w14:textId="1020B5C0" w:rsidR="00F439BC" w:rsidRDefault="00CE575C" w:rsidP="00981D94">
            <w:pPr>
              <w:pStyle w:val="CONPESTexto"/>
              <w:spacing w:before="0" w:after="0" w:line="240" w:lineRule="auto"/>
              <w:ind w:firstLine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eastAsia="Arial" w:hAnsi="Arial" w:cs="Arial"/>
                <w:iCs/>
                <w:szCs w:val="22"/>
              </w:rPr>
              <w:t xml:space="preserve">La derogatoria de </w:t>
            </w:r>
            <w:r w:rsidR="00BD1A48">
              <w:rPr>
                <w:rFonts w:ascii="Arial" w:eastAsia="Arial" w:hAnsi="Arial" w:cs="Arial"/>
                <w:iCs/>
                <w:szCs w:val="22"/>
              </w:rPr>
              <w:t xml:space="preserve">la </w:t>
            </w:r>
            <w:r w:rsidR="00145D9E">
              <w:rPr>
                <w:rFonts w:ascii="Arial" w:eastAsia="Arial" w:hAnsi="Arial" w:cs="Arial"/>
                <w:iCs/>
                <w:szCs w:val="22"/>
              </w:rPr>
              <w:t xml:space="preserve">citada resolución </w:t>
            </w:r>
            <w:r w:rsidR="00A068F8">
              <w:rPr>
                <w:rFonts w:ascii="Arial" w:eastAsia="Arial" w:hAnsi="Arial" w:cs="Arial"/>
                <w:iCs/>
                <w:szCs w:val="22"/>
              </w:rPr>
              <w:t xml:space="preserve">(3539 de 2019) </w:t>
            </w:r>
            <w:r w:rsidR="003A6902">
              <w:rPr>
                <w:rFonts w:ascii="Arial" w:eastAsia="Arial" w:hAnsi="Arial" w:cs="Arial"/>
                <w:iCs/>
                <w:szCs w:val="22"/>
              </w:rPr>
              <w:t xml:space="preserve">es </w:t>
            </w:r>
            <w:r w:rsidR="00792714">
              <w:rPr>
                <w:rFonts w:ascii="Arial" w:eastAsia="Arial" w:hAnsi="Arial" w:cs="Arial"/>
                <w:iCs/>
                <w:szCs w:val="22"/>
              </w:rPr>
              <w:t xml:space="preserve">necesaria pare el </w:t>
            </w:r>
            <w:r w:rsidR="003A6902">
              <w:rPr>
                <w:rFonts w:ascii="Arial" w:eastAsia="Arial" w:hAnsi="Arial" w:cs="Arial"/>
                <w:iCs/>
                <w:szCs w:val="22"/>
              </w:rPr>
              <w:t>referido tribunal,</w:t>
            </w:r>
            <w:r w:rsidR="00792714">
              <w:rPr>
                <w:rFonts w:ascii="Arial" w:eastAsia="Arial" w:hAnsi="Arial" w:cs="Arial"/>
                <w:iCs/>
                <w:szCs w:val="22"/>
              </w:rPr>
              <w:t xml:space="preserve"> por cuanto </w:t>
            </w:r>
            <w:r w:rsidR="00145D9E">
              <w:rPr>
                <w:rFonts w:ascii="Arial" w:eastAsia="Arial" w:hAnsi="Arial" w:cs="Arial"/>
                <w:iCs/>
                <w:szCs w:val="22"/>
              </w:rPr>
              <w:t xml:space="preserve">no evidencia la realidad en materia de negación de servicios en salud, </w:t>
            </w:r>
            <w:r w:rsidR="00792714">
              <w:rPr>
                <w:rFonts w:ascii="Arial" w:eastAsia="Arial" w:hAnsi="Arial" w:cs="Arial"/>
                <w:iCs/>
                <w:szCs w:val="22"/>
              </w:rPr>
              <w:t xml:space="preserve">debido a que </w:t>
            </w:r>
            <w:r w:rsidR="00145D9E">
              <w:rPr>
                <w:rFonts w:ascii="Arial" w:eastAsia="Arial" w:hAnsi="Arial" w:cs="Arial"/>
                <w:iCs/>
                <w:szCs w:val="22"/>
              </w:rPr>
              <w:t xml:space="preserve">corresponde a </w:t>
            </w:r>
            <w:r w:rsidR="00DE6C26">
              <w:rPr>
                <w:rFonts w:ascii="Arial" w:eastAsia="Arial" w:hAnsi="Arial" w:cs="Arial"/>
                <w:iCs/>
                <w:szCs w:val="22"/>
              </w:rPr>
              <w:t>un auto reporte que</w:t>
            </w:r>
            <w:r w:rsidR="006121A9">
              <w:rPr>
                <w:rFonts w:ascii="Arial" w:eastAsia="Arial" w:hAnsi="Arial" w:cs="Arial"/>
                <w:iCs/>
                <w:szCs w:val="22"/>
              </w:rPr>
              <w:t xml:space="preserve"> realizan las </w:t>
            </w:r>
            <w:r w:rsidR="00445271">
              <w:rPr>
                <w:rFonts w:ascii="Arial" w:eastAsia="Arial" w:hAnsi="Arial" w:cs="Arial"/>
                <w:iCs/>
                <w:szCs w:val="22"/>
              </w:rPr>
              <w:t>e</w:t>
            </w:r>
            <w:r w:rsidR="006121A9">
              <w:rPr>
                <w:rFonts w:ascii="Arial" w:eastAsia="Arial" w:hAnsi="Arial" w:cs="Arial"/>
                <w:iCs/>
                <w:szCs w:val="22"/>
              </w:rPr>
              <w:t xml:space="preserve">ntidades </w:t>
            </w:r>
            <w:r w:rsidR="00445271">
              <w:rPr>
                <w:rFonts w:ascii="Arial" w:eastAsia="Arial" w:hAnsi="Arial" w:cs="Arial"/>
                <w:iCs/>
                <w:szCs w:val="22"/>
              </w:rPr>
              <w:t>responsables del aseguramiento en salud de los Regímenes Contributivo y Subsidiado</w:t>
            </w:r>
            <w:r w:rsidR="00175B7A">
              <w:rPr>
                <w:rFonts w:ascii="Arial" w:eastAsia="Arial" w:hAnsi="Arial" w:cs="Arial"/>
                <w:iCs/>
                <w:szCs w:val="22"/>
              </w:rPr>
              <w:t>, lo cual</w:t>
            </w:r>
            <w:r w:rsidR="00DE6C26">
              <w:rPr>
                <w:rFonts w:ascii="Arial" w:eastAsia="Arial" w:hAnsi="Arial" w:cs="Arial"/>
                <w:iCs/>
                <w:szCs w:val="22"/>
              </w:rPr>
              <w:t xml:space="preserve"> no tiene en consideración las peticiones, quejas, </w:t>
            </w:r>
            <w:r w:rsidR="00750018">
              <w:rPr>
                <w:rFonts w:ascii="Arial" w:eastAsia="Arial" w:hAnsi="Arial" w:cs="Arial"/>
                <w:iCs/>
                <w:szCs w:val="22"/>
              </w:rPr>
              <w:t>reclamos, denuncias y solicitudes (</w:t>
            </w:r>
            <w:r w:rsidR="00DE6C26">
              <w:rPr>
                <w:rFonts w:ascii="Arial" w:eastAsia="Arial" w:hAnsi="Arial" w:cs="Arial"/>
                <w:iCs/>
                <w:szCs w:val="22"/>
              </w:rPr>
              <w:t>PQRDS</w:t>
            </w:r>
            <w:r w:rsidR="00750018">
              <w:rPr>
                <w:rFonts w:ascii="Arial" w:eastAsia="Arial" w:hAnsi="Arial" w:cs="Arial"/>
                <w:iCs/>
                <w:szCs w:val="22"/>
              </w:rPr>
              <w:t xml:space="preserve">) que presentan </w:t>
            </w:r>
            <w:r w:rsidR="00175B7A">
              <w:rPr>
                <w:rFonts w:ascii="Arial" w:eastAsia="Arial" w:hAnsi="Arial" w:cs="Arial"/>
                <w:iCs/>
                <w:szCs w:val="22"/>
              </w:rPr>
              <w:t xml:space="preserve">los usuarios contra dichas entidades </w:t>
            </w:r>
            <w:r w:rsidR="00750018">
              <w:rPr>
                <w:rFonts w:ascii="Arial" w:eastAsia="Arial" w:hAnsi="Arial" w:cs="Arial"/>
                <w:iCs/>
                <w:szCs w:val="22"/>
              </w:rPr>
              <w:t>ante la Superintendencia Nacional de Salud</w:t>
            </w:r>
            <w:r w:rsidR="007602F0">
              <w:rPr>
                <w:rFonts w:ascii="Arial" w:eastAsia="Arial" w:hAnsi="Arial" w:cs="Arial"/>
                <w:iCs/>
                <w:szCs w:val="22"/>
              </w:rPr>
              <w:t xml:space="preserve">, que es lo que </w:t>
            </w:r>
            <w:r w:rsidR="004D76BC">
              <w:rPr>
                <w:rFonts w:ascii="Arial" w:eastAsia="Arial" w:hAnsi="Arial" w:cs="Arial"/>
                <w:iCs/>
                <w:szCs w:val="22"/>
              </w:rPr>
              <w:t xml:space="preserve">pretende </w:t>
            </w:r>
            <w:r w:rsidR="007602F0">
              <w:rPr>
                <w:rFonts w:ascii="Arial" w:eastAsia="Arial" w:hAnsi="Arial" w:cs="Arial"/>
                <w:iCs/>
                <w:szCs w:val="22"/>
              </w:rPr>
              <w:t>ver reflejado la Corte Constitucional</w:t>
            </w:r>
            <w:r w:rsidR="004D76BC">
              <w:rPr>
                <w:rFonts w:ascii="Arial" w:eastAsia="Arial" w:hAnsi="Arial" w:cs="Arial"/>
                <w:iCs/>
                <w:szCs w:val="22"/>
              </w:rPr>
              <w:t xml:space="preserve"> en el nuevo proyecto de acto administrativo que se vaya a expedir</w:t>
            </w:r>
            <w:r w:rsidR="00750018">
              <w:rPr>
                <w:rFonts w:ascii="Arial" w:eastAsia="Arial" w:hAnsi="Arial" w:cs="Arial"/>
                <w:iCs/>
                <w:szCs w:val="22"/>
              </w:rPr>
              <w:t>.</w:t>
            </w:r>
          </w:p>
          <w:p w14:paraId="0F2F1F2B" w14:textId="77777777" w:rsidR="00981D94" w:rsidRPr="00981D94" w:rsidRDefault="00981D94" w:rsidP="004D76B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81D94" w:rsidRPr="00981D94" w14:paraId="18A8F2D3" w14:textId="77777777">
        <w:trPr>
          <w:trHeight w:val="1215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D3F" w14:textId="77777777" w:rsidR="00981D94" w:rsidRPr="00981D94" w:rsidRDefault="00981D94" w:rsidP="00981D9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858DC5" w14:textId="77777777" w:rsidR="00981D94" w:rsidRPr="00981D94" w:rsidRDefault="00981D94" w:rsidP="00981D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 w:rsidRPr="00981D94">
              <w:rPr>
                <w:rFonts w:ascii="Arial" w:hAnsi="Arial" w:cs="Arial"/>
                <w:b/>
                <w:bCs/>
                <w:sz w:val="22"/>
              </w:rPr>
              <w:t>¿Existe algún acto administrativo vigente que regule el mismo tema?</w:t>
            </w:r>
          </w:p>
          <w:p w14:paraId="729CAE22" w14:textId="77777777" w:rsidR="00981D94" w:rsidRPr="00981D94" w:rsidRDefault="00981D94" w:rsidP="00981D94">
            <w:pPr>
              <w:ind w:left="33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FD139F2" w14:textId="62312F22" w:rsidR="00981D94" w:rsidRPr="00981D94" w:rsidRDefault="00981D94" w:rsidP="00981D94">
            <w:pPr>
              <w:ind w:left="3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1D94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981D94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 w:rsidR="004D76BC" w:rsidRPr="004D76BC">
              <w:rPr>
                <w:rFonts w:ascii="Arial" w:hAnsi="Arial" w:cs="Arial"/>
                <w:sz w:val="22"/>
                <w:szCs w:val="22"/>
                <w:u w:val="single"/>
              </w:rPr>
              <w:t>X</w:t>
            </w:r>
            <w:r w:rsidRPr="00981D94">
              <w:rPr>
                <w:rFonts w:ascii="Arial" w:hAnsi="Arial" w:cs="Arial"/>
                <w:sz w:val="22"/>
                <w:szCs w:val="22"/>
                <w:u w:val="single"/>
              </w:rPr>
              <w:t xml:space="preserve">   </w:t>
            </w:r>
            <w:r w:rsidRPr="00981D94">
              <w:rPr>
                <w:rFonts w:ascii="Arial" w:hAnsi="Arial" w:cs="Arial"/>
                <w:sz w:val="22"/>
                <w:szCs w:val="22"/>
              </w:rPr>
              <w:t xml:space="preserve">                                            NO _</w:t>
            </w:r>
            <w:r w:rsidR="004D76BC">
              <w:rPr>
                <w:rFonts w:ascii="Arial" w:hAnsi="Arial" w:cs="Arial"/>
                <w:sz w:val="22"/>
                <w:szCs w:val="22"/>
              </w:rPr>
              <w:t>_</w:t>
            </w:r>
            <w:r w:rsidRPr="00981D94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981D94" w:rsidRPr="00981D94" w14:paraId="761E69F7" w14:textId="77777777">
        <w:trPr>
          <w:trHeight w:val="1215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5083" w14:textId="77777777" w:rsidR="00981D94" w:rsidRPr="00981D94" w:rsidRDefault="00981D94" w:rsidP="00981D94">
            <w:pPr>
              <w:ind w:left="3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B56C7C" w14:textId="77777777" w:rsidR="00981D94" w:rsidRPr="00981D94" w:rsidRDefault="00981D94" w:rsidP="00981D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81D94">
              <w:rPr>
                <w:rFonts w:ascii="Arial" w:hAnsi="Arial" w:cs="Arial"/>
                <w:b/>
                <w:bCs/>
                <w:sz w:val="22"/>
              </w:rPr>
              <w:t>Si ya existe, explique por qué resulta insuficiente</w:t>
            </w:r>
          </w:p>
          <w:p w14:paraId="690FA20B" w14:textId="77777777" w:rsidR="00981D94" w:rsidRPr="00981D94" w:rsidRDefault="00981D94" w:rsidP="00981D94">
            <w:pPr>
              <w:ind w:left="3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1D94">
              <w:rPr>
                <w:rFonts w:ascii="Arial" w:hAnsi="Arial" w:cs="Arial"/>
                <w:i/>
                <w:sz w:val="22"/>
                <w:szCs w:val="22"/>
              </w:rPr>
              <w:t>(Responder esta pregunta señalando de manera clara y concisa las razones por las cuales el acto administrativo vigente resulta insuficiente</w:t>
            </w:r>
            <w:r w:rsidRPr="00981D9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7C86766" w14:textId="77777777" w:rsidR="00981D94" w:rsidRPr="00981D94" w:rsidRDefault="00981D94" w:rsidP="00981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899FB" w14:textId="053BBA56" w:rsidR="0094150F" w:rsidRPr="00C92B15" w:rsidRDefault="001F0FF1" w:rsidP="0042259A">
            <w:pPr>
              <w:tabs>
                <w:tab w:val="left" w:pos="165"/>
              </w:tabs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92B15">
              <w:rPr>
                <w:rFonts w:ascii="Arial" w:hAnsi="Arial" w:cs="Arial"/>
                <w:sz w:val="22"/>
                <w:szCs w:val="22"/>
                <w:lang w:val="es-ES"/>
              </w:rPr>
              <w:t xml:space="preserve">Como se mencionó en el punto anterior, </w:t>
            </w:r>
            <w:r w:rsidR="00C92B15">
              <w:rPr>
                <w:rFonts w:ascii="Arial" w:hAnsi="Arial" w:cs="Arial"/>
                <w:sz w:val="22"/>
                <w:szCs w:val="22"/>
                <w:lang w:val="es-ES"/>
              </w:rPr>
              <w:t xml:space="preserve">es necesaria </w:t>
            </w:r>
            <w:r w:rsidR="00C92B15" w:rsidRPr="00C92B15">
              <w:rPr>
                <w:rFonts w:ascii="Arial" w:eastAsia="Arial" w:hAnsi="Arial" w:cs="Arial"/>
                <w:iCs/>
                <w:sz w:val="22"/>
                <w:szCs w:val="22"/>
              </w:rPr>
              <w:t xml:space="preserve">la derogatoria de la </w:t>
            </w:r>
            <w:r w:rsidR="00C92B15">
              <w:rPr>
                <w:rFonts w:ascii="Arial" w:eastAsia="Arial" w:hAnsi="Arial" w:cs="Arial"/>
                <w:iCs/>
                <w:sz w:val="22"/>
                <w:szCs w:val="22"/>
              </w:rPr>
              <w:t>R</w:t>
            </w:r>
            <w:r w:rsidR="00C92B15" w:rsidRPr="00C92B15">
              <w:rPr>
                <w:rFonts w:ascii="Arial" w:eastAsia="Arial" w:hAnsi="Arial" w:cs="Arial"/>
                <w:iCs/>
                <w:sz w:val="22"/>
                <w:szCs w:val="22"/>
              </w:rPr>
              <w:t>esolución 3539 de 2019</w:t>
            </w:r>
            <w:r w:rsidR="00C92B15">
              <w:rPr>
                <w:rFonts w:ascii="Arial" w:eastAsia="Arial" w:hAnsi="Arial" w:cs="Arial"/>
                <w:iCs/>
                <w:sz w:val="22"/>
                <w:szCs w:val="22"/>
              </w:rPr>
              <w:t xml:space="preserve"> actualmente vigente, </w:t>
            </w:r>
            <w:r w:rsidR="008539E9">
              <w:rPr>
                <w:rFonts w:ascii="Arial" w:eastAsia="Arial" w:hAnsi="Arial" w:cs="Arial"/>
                <w:iCs/>
                <w:sz w:val="22"/>
                <w:szCs w:val="22"/>
              </w:rPr>
              <w:t xml:space="preserve">debido a que la Corte Constitucional considera que el auto </w:t>
            </w:r>
            <w:r w:rsidR="0094150F">
              <w:rPr>
                <w:rFonts w:ascii="Arial" w:eastAsia="Arial" w:hAnsi="Arial" w:cs="Arial"/>
                <w:iCs/>
                <w:sz w:val="22"/>
                <w:szCs w:val="22"/>
              </w:rPr>
              <w:t xml:space="preserve">reporte </w:t>
            </w:r>
            <w:r w:rsidR="0094150F" w:rsidRPr="00C92B15">
              <w:rPr>
                <w:rFonts w:ascii="Arial" w:eastAsia="Arial" w:hAnsi="Arial" w:cs="Arial"/>
                <w:iCs/>
                <w:sz w:val="22"/>
                <w:szCs w:val="22"/>
              </w:rPr>
              <w:t>que realizan las entidades responsables del aseguramiento en salud de los Regímenes Contributivo y Subsidiado, no evidencia la realidad en materia de negación de servicios en salud,</w:t>
            </w:r>
            <w:r w:rsidR="0094150F">
              <w:rPr>
                <w:rFonts w:ascii="Arial" w:eastAsia="Arial" w:hAnsi="Arial" w:cs="Arial"/>
                <w:iCs/>
                <w:sz w:val="22"/>
                <w:szCs w:val="22"/>
              </w:rPr>
              <w:t xml:space="preserve"> lo cual </w:t>
            </w:r>
            <w:r w:rsidR="0092381B">
              <w:rPr>
                <w:rFonts w:ascii="Arial" w:eastAsia="Arial" w:hAnsi="Arial" w:cs="Arial"/>
                <w:iCs/>
                <w:sz w:val="22"/>
                <w:szCs w:val="22"/>
              </w:rPr>
              <w:t xml:space="preserve">tiene asidero porque las referidas entidades suelen reportar lo que pueden </w:t>
            </w:r>
            <w:r w:rsidR="004D4051">
              <w:rPr>
                <w:rFonts w:ascii="Arial" w:eastAsia="Arial" w:hAnsi="Arial" w:cs="Arial"/>
                <w:iCs/>
                <w:sz w:val="22"/>
                <w:szCs w:val="22"/>
              </w:rPr>
              <w:t xml:space="preserve">justificar o en varios casos </w:t>
            </w:r>
            <w:r w:rsidR="0042259A">
              <w:rPr>
                <w:rFonts w:ascii="Arial" w:eastAsia="Arial" w:hAnsi="Arial" w:cs="Arial"/>
                <w:iCs/>
                <w:sz w:val="22"/>
                <w:szCs w:val="22"/>
              </w:rPr>
              <w:t xml:space="preserve">reportan en cero (0), pese a que existen </w:t>
            </w:r>
            <w:r w:rsidR="0094150F" w:rsidRPr="00C92B15">
              <w:rPr>
                <w:rFonts w:ascii="Arial" w:eastAsia="Arial" w:hAnsi="Arial" w:cs="Arial"/>
                <w:iCs/>
                <w:sz w:val="22"/>
                <w:szCs w:val="22"/>
              </w:rPr>
              <w:t>peticiones, quejas, reclamos, denuncias y solicitudes (PQRDS) que presentan los usuarios contra dichas entidades ante la Superintendencia Nacional de Salud</w:t>
            </w:r>
            <w:r w:rsidR="00245EF1">
              <w:rPr>
                <w:rFonts w:ascii="Arial" w:eastAsia="Arial" w:hAnsi="Arial" w:cs="Arial"/>
                <w:iCs/>
                <w:sz w:val="22"/>
                <w:szCs w:val="22"/>
              </w:rPr>
              <w:t>,</w:t>
            </w:r>
            <w:r w:rsidR="0042259A">
              <w:rPr>
                <w:rFonts w:ascii="Arial" w:eastAsia="Arial" w:hAnsi="Arial" w:cs="Arial"/>
                <w:iCs/>
                <w:sz w:val="22"/>
                <w:szCs w:val="22"/>
              </w:rPr>
              <w:t xml:space="preserve"> que no se </w:t>
            </w:r>
            <w:r w:rsidR="0094150F" w:rsidRPr="00C92B15">
              <w:rPr>
                <w:rFonts w:ascii="Arial" w:eastAsia="Arial" w:hAnsi="Arial" w:cs="Arial"/>
                <w:iCs/>
                <w:sz w:val="22"/>
                <w:szCs w:val="22"/>
              </w:rPr>
              <w:t>refleja</w:t>
            </w:r>
            <w:r w:rsidR="00245EF1">
              <w:rPr>
                <w:rFonts w:ascii="Arial" w:eastAsia="Arial" w:hAnsi="Arial" w:cs="Arial"/>
                <w:iCs/>
                <w:sz w:val="22"/>
                <w:szCs w:val="22"/>
              </w:rPr>
              <w:t>n</w:t>
            </w:r>
            <w:r w:rsidR="00993D0B">
              <w:rPr>
                <w:rFonts w:ascii="Arial" w:eastAsia="Arial" w:hAnsi="Arial" w:cs="Arial"/>
                <w:iCs/>
                <w:sz w:val="22"/>
                <w:szCs w:val="22"/>
              </w:rPr>
              <w:t xml:space="preserve"> en los auto reportes</w:t>
            </w:r>
            <w:r w:rsidR="00A0296D">
              <w:rPr>
                <w:rFonts w:ascii="Arial" w:eastAsia="Arial" w:hAnsi="Arial" w:cs="Arial"/>
                <w:iCs/>
                <w:sz w:val="22"/>
                <w:szCs w:val="22"/>
              </w:rPr>
              <w:t xml:space="preserve"> que realizan</w:t>
            </w:r>
            <w:r w:rsidR="00993D0B">
              <w:rPr>
                <w:rFonts w:ascii="Arial" w:eastAsia="Arial" w:hAnsi="Arial" w:cs="Arial"/>
                <w:iCs/>
                <w:sz w:val="22"/>
                <w:szCs w:val="22"/>
              </w:rPr>
              <w:t xml:space="preserve">, razón por la que es necesaria </w:t>
            </w:r>
            <w:r w:rsidR="00D452B5">
              <w:rPr>
                <w:rFonts w:ascii="Arial" w:eastAsia="Arial" w:hAnsi="Arial" w:cs="Arial"/>
                <w:iCs/>
                <w:sz w:val="22"/>
                <w:szCs w:val="22"/>
              </w:rPr>
              <w:t xml:space="preserve">la expedición del nuevo </w:t>
            </w:r>
            <w:r w:rsidR="0094150F" w:rsidRPr="00C92B15">
              <w:rPr>
                <w:rFonts w:ascii="Arial" w:eastAsia="Arial" w:hAnsi="Arial" w:cs="Arial"/>
                <w:iCs/>
                <w:sz w:val="22"/>
                <w:szCs w:val="22"/>
              </w:rPr>
              <w:t xml:space="preserve">proyecto de </w:t>
            </w:r>
            <w:r w:rsidR="00D452B5">
              <w:rPr>
                <w:rFonts w:ascii="Arial" w:eastAsia="Arial" w:hAnsi="Arial" w:cs="Arial"/>
                <w:iCs/>
                <w:sz w:val="22"/>
                <w:szCs w:val="22"/>
              </w:rPr>
              <w:t>resolución</w:t>
            </w:r>
            <w:r w:rsidR="0094150F" w:rsidRPr="00C92B15">
              <w:rPr>
                <w:rFonts w:ascii="Arial" w:eastAsia="Arial" w:hAnsi="Arial" w:cs="Arial"/>
                <w:iCs/>
                <w:sz w:val="22"/>
                <w:szCs w:val="22"/>
              </w:rPr>
              <w:t>.</w:t>
            </w:r>
          </w:p>
          <w:p w14:paraId="0C88C5F1" w14:textId="77777777" w:rsidR="00981D94" w:rsidRPr="00981D94" w:rsidRDefault="00981D94" w:rsidP="00A0296D">
            <w:pPr>
              <w:tabs>
                <w:tab w:val="left" w:pos="1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D94" w:rsidRPr="00981D94" w14:paraId="7A8D1EA6" w14:textId="77777777">
        <w:trPr>
          <w:trHeight w:val="1215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A83" w14:textId="77777777" w:rsidR="00981D94" w:rsidRPr="00981D94" w:rsidRDefault="00981D94" w:rsidP="00981D94">
            <w:pPr>
              <w:ind w:left="33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6F87C7" w14:textId="77777777" w:rsidR="00981D94" w:rsidRPr="00981D94" w:rsidRDefault="00981D94" w:rsidP="00981D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81D94">
              <w:rPr>
                <w:rFonts w:ascii="Arial" w:hAnsi="Arial" w:cs="Arial"/>
                <w:b/>
                <w:bCs/>
                <w:sz w:val="22"/>
              </w:rPr>
              <w:t>Si ya existe un acto administrativo que regule el mismo tema, especifique según sea el caso si el proyecto:</w:t>
            </w:r>
          </w:p>
          <w:p w14:paraId="5EB8D33B" w14:textId="77777777" w:rsidR="00981D94" w:rsidRPr="00981D94" w:rsidRDefault="00981D94" w:rsidP="00981D94">
            <w:pPr>
              <w:ind w:left="33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8C54AC" w14:textId="1FC86C50" w:rsidR="00981D94" w:rsidRPr="00981D94" w:rsidRDefault="00981D94" w:rsidP="00981D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</w:rPr>
            </w:pPr>
            <w:r w:rsidRPr="00981D94">
              <w:rPr>
                <w:rFonts w:ascii="Arial" w:hAnsi="Arial" w:cs="Arial"/>
                <w:sz w:val="22"/>
              </w:rPr>
              <w:t>Deroga     _</w:t>
            </w:r>
            <w:r w:rsidR="00A0296D">
              <w:rPr>
                <w:rFonts w:ascii="Arial" w:hAnsi="Arial" w:cs="Arial"/>
                <w:sz w:val="22"/>
                <w:u w:val="single"/>
              </w:rPr>
              <w:t>X</w:t>
            </w:r>
            <w:r w:rsidRPr="00981D94">
              <w:rPr>
                <w:rFonts w:ascii="Arial" w:hAnsi="Arial" w:cs="Arial"/>
                <w:sz w:val="22"/>
              </w:rPr>
              <w:t>_</w:t>
            </w:r>
            <w:r w:rsidR="005A49C4">
              <w:rPr>
                <w:rFonts w:ascii="Arial" w:hAnsi="Arial" w:cs="Arial"/>
                <w:sz w:val="22"/>
              </w:rPr>
              <w:t>_</w:t>
            </w:r>
          </w:p>
          <w:p w14:paraId="69994D4F" w14:textId="537A2374" w:rsidR="00981D94" w:rsidRPr="00981D94" w:rsidRDefault="00981D94" w:rsidP="00981D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</w:rPr>
            </w:pPr>
            <w:r w:rsidRPr="00981D94">
              <w:rPr>
                <w:rFonts w:ascii="Arial" w:hAnsi="Arial" w:cs="Arial"/>
                <w:sz w:val="22"/>
              </w:rPr>
              <w:t>Modifica   ___</w:t>
            </w:r>
            <w:r w:rsidR="005A49C4">
              <w:rPr>
                <w:rFonts w:ascii="Arial" w:hAnsi="Arial" w:cs="Arial"/>
                <w:sz w:val="22"/>
              </w:rPr>
              <w:t>_</w:t>
            </w:r>
          </w:p>
          <w:p w14:paraId="3937AF3C" w14:textId="0FAF062A" w:rsidR="00981D94" w:rsidRPr="00981D94" w:rsidRDefault="00981D94" w:rsidP="00981D9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</w:rPr>
            </w:pPr>
            <w:r w:rsidRPr="00981D94">
              <w:rPr>
                <w:rFonts w:ascii="Arial" w:hAnsi="Arial" w:cs="Arial"/>
                <w:sz w:val="22"/>
              </w:rPr>
              <w:t>Sustituye ___</w:t>
            </w:r>
            <w:r w:rsidR="005A49C4">
              <w:rPr>
                <w:rFonts w:ascii="Arial" w:hAnsi="Arial" w:cs="Arial"/>
                <w:sz w:val="22"/>
              </w:rPr>
              <w:t>_</w:t>
            </w:r>
          </w:p>
          <w:p w14:paraId="284A5AFA" w14:textId="77777777" w:rsidR="00981D94" w:rsidRPr="00981D94" w:rsidRDefault="00981D94" w:rsidP="00981D94">
            <w:pPr>
              <w:pStyle w:val="Prrafodelista"/>
              <w:ind w:left="696"/>
              <w:jc w:val="both"/>
              <w:rPr>
                <w:rFonts w:ascii="Arial" w:hAnsi="Arial" w:cs="Arial"/>
                <w:sz w:val="22"/>
              </w:rPr>
            </w:pPr>
          </w:p>
          <w:p w14:paraId="22D10E8E" w14:textId="2141DB5B" w:rsidR="00981D94" w:rsidRDefault="00744D7B" w:rsidP="00744D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E27E7B">
              <w:rPr>
                <w:rFonts w:ascii="Arial" w:hAnsi="Arial" w:cs="Arial"/>
                <w:sz w:val="22"/>
                <w:szCs w:val="22"/>
              </w:rPr>
              <w:t xml:space="preserve">conformidad </w:t>
            </w:r>
            <w:r>
              <w:rPr>
                <w:rFonts w:ascii="Arial" w:hAnsi="Arial" w:cs="Arial"/>
                <w:sz w:val="22"/>
                <w:szCs w:val="22"/>
              </w:rPr>
              <w:t xml:space="preserve">con lo señalado, el proyecto de </w:t>
            </w:r>
            <w:r w:rsidR="003505CB">
              <w:rPr>
                <w:rFonts w:ascii="Arial" w:hAnsi="Arial" w:cs="Arial"/>
                <w:sz w:val="22"/>
                <w:szCs w:val="22"/>
              </w:rPr>
              <w:t xml:space="preserve">acto administrativo </w:t>
            </w:r>
            <w:r>
              <w:rPr>
                <w:rFonts w:ascii="Arial" w:hAnsi="Arial" w:cs="Arial"/>
                <w:sz w:val="22"/>
                <w:szCs w:val="22"/>
              </w:rPr>
              <w:t xml:space="preserve">que se pretende expedir es para derogar la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R</w:t>
            </w:r>
            <w:r w:rsidRPr="00C92B15">
              <w:rPr>
                <w:rFonts w:ascii="Arial" w:eastAsia="Arial" w:hAnsi="Arial" w:cs="Arial"/>
                <w:iCs/>
                <w:sz w:val="22"/>
                <w:szCs w:val="22"/>
              </w:rPr>
              <w:t>esolución 3539 de 2019</w:t>
            </w:r>
            <w:r w:rsidR="003505CB">
              <w:rPr>
                <w:rFonts w:ascii="Arial" w:eastAsia="Arial" w:hAnsi="Arial" w:cs="Arial"/>
                <w:iCs/>
                <w:sz w:val="22"/>
                <w:szCs w:val="22"/>
              </w:rPr>
              <w:t xml:space="preserve"> con </w:t>
            </w:r>
            <w:r w:rsidR="00E27E7B">
              <w:rPr>
                <w:rFonts w:ascii="Arial" w:eastAsia="Arial" w:hAnsi="Arial" w:cs="Arial"/>
                <w:iCs/>
                <w:sz w:val="22"/>
                <w:szCs w:val="22"/>
              </w:rPr>
              <w:t xml:space="preserve">base en </w:t>
            </w:r>
            <w:r w:rsidR="003505CB">
              <w:rPr>
                <w:rFonts w:ascii="Arial" w:eastAsia="Arial" w:hAnsi="Arial" w:cs="Arial"/>
                <w:iCs/>
                <w:sz w:val="22"/>
                <w:szCs w:val="22"/>
              </w:rPr>
              <w:t xml:space="preserve">las </w:t>
            </w:r>
            <w:r w:rsidR="00E27E7B">
              <w:rPr>
                <w:rFonts w:ascii="Arial" w:eastAsia="Arial" w:hAnsi="Arial" w:cs="Arial"/>
                <w:iCs/>
                <w:sz w:val="22"/>
                <w:szCs w:val="22"/>
              </w:rPr>
              <w:t>razones expuestas</w:t>
            </w:r>
            <w:r w:rsidR="002A26A3">
              <w:rPr>
                <w:rFonts w:ascii="Arial" w:eastAsia="Arial" w:hAnsi="Arial" w:cs="Arial"/>
                <w:iCs/>
                <w:sz w:val="22"/>
                <w:szCs w:val="22"/>
              </w:rPr>
              <w:t>.</w:t>
            </w:r>
          </w:p>
          <w:p w14:paraId="19FC2E68" w14:textId="705C5FB8" w:rsidR="001F0FF1" w:rsidRPr="005A49C4" w:rsidRDefault="001F0FF1" w:rsidP="005A49C4">
            <w:pPr>
              <w:ind w:left="33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D94" w:rsidRPr="00981D94" w14:paraId="38028DDA" w14:textId="77777777">
        <w:trPr>
          <w:trHeight w:val="70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277" w14:textId="77777777" w:rsidR="00981D94" w:rsidRPr="00981D94" w:rsidRDefault="00981D94" w:rsidP="00981D94">
            <w:pPr>
              <w:ind w:left="33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7A01F5" w14:textId="77777777" w:rsidR="00981D94" w:rsidRDefault="00981D94" w:rsidP="00981D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81D94">
              <w:rPr>
                <w:rFonts w:ascii="Arial" w:hAnsi="Arial" w:cs="Arial"/>
                <w:b/>
                <w:bCs/>
                <w:sz w:val="22"/>
              </w:rPr>
              <w:t xml:space="preserve">Indique la disposición (es) de orden constitucional o legal que otorgan la competencia para expedir el acto administrativo  </w:t>
            </w:r>
          </w:p>
          <w:p w14:paraId="43A9ECB8" w14:textId="77777777" w:rsidR="005A49C4" w:rsidRDefault="005A49C4" w:rsidP="005A49C4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68EB2B14" w14:textId="77777777" w:rsidR="00430D6F" w:rsidRPr="00430D6F" w:rsidRDefault="00430D6F" w:rsidP="005A49C4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430D6F">
              <w:rPr>
                <w:rFonts w:ascii="Arial" w:hAnsi="Arial" w:cs="Arial"/>
                <w:bCs/>
                <w:sz w:val="22"/>
              </w:rPr>
              <w:t xml:space="preserve">Las disposiciones </w:t>
            </w:r>
            <w:r>
              <w:rPr>
                <w:rFonts w:ascii="Arial" w:hAnsi="Arial" w:cs="Arial"/>
                <w:bCs/>
                <w:sz w:val="22"/>
              </w:rPr>
              <w:t xml:space="preserve">que recogen las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facultades legales y reglamentarias</w:t>
            </w:r>
            <w:r w:rsidRPr="00430D6F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para expedir </w:t>
            </w:r>
            <w:r w:rsidR="007B4D7A">
              <w:rPr>
                <w:rFonts w:ascii="Arial" w:hAnsi="Arial" w:cs="Arial"/>
                <w:bCs/>
                <w:sz w:val="22"/>
              </w:rPr>
              <w:t>el acto administrativo, son las siguientes:</w:t>
            </w:r>
          </w:p>
          <w:p w14:paraId="00DE51CD" w14:textId="77777777" w:rsidR="001F0FF1" w:rsidRDefault="001F0FF1" w:rsidP="005A49C4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101B13A7" w14:textId="1BBED2D3" w:rsidR="00B911EA" w:rsidRPr="00B911EA" w:rsidRDefault="001F0FF1" w:rsidP="00B911EA">
            <w:pPr>
              <w:pStyle w:val="Prrafodelista"/>
              <w:numPr>
                <w:ilvl w:val="0"/>
                <w:numId w:val="4"/>
              </w:numPr>
              <w:jc w:val="both"/>
              <w:rPr>
                <w:rStyle w:val="nfasis"/>
                <w:rFonts w:ascii="Arial" w:hAnsi="Arial" w:cs="Arial"/>
                <w:i w:val="0"/>
                <w:iCs w:val="0"/>
                <w:sz w:val="22"/>
              </w:rPr>
            </w:pPr>
            <w:r w:rsidRPr="00612CBB">
              <w:rPr>
                <w:rFonts w:ascii="Arial" w:eastAsia="Arial" w:hAnsi="Arial" w:cs="Arial"/>
                <w:sz w:val="22"/>
              </w:rPr>
              <w:t xml:space="preserve">El numeral 3 del artículo 173 de la Ley 100 de 1993: </w:t>
            </w:r>
            <w:r w:rsidRPr="00612CBB">
              <w:rPr>
                <w:rFonts w:ascii="Arial" w:eastAsia="Arial" w:hAnsi="Arial" w:cs="Arial"/>
                <w:i/>
                <w:iCs/>
                <w:sz w:val="22"/>
              </w:rPr>
              <w:t>“</w:t>
            </w:r>
            <w:r w:rsidRPr="00612CBB">
              <w:rPr>
                <w:rFonts w:ascii="Arial" w:hAnsi="Arial" w:cs="Arial"/>
                <w:i/>
                <w:iCs/>
                <w:sz w:val="22"/>
              </w:rPr>
              <w:t>Por la cual se crea el sistema de seguridad social integral y se dictan otras disposiciones</w:t>
            </w:r>
            <w:r w:rsidRPr="00612CBB">
              <w:rPr>
                <w:rFonts w:ascii="Arial" w:eastAsia="Arial" w:hAnsi="Arial" w:cs="Arial"/>
                <w:i/>
                <w:iCs/>
                <w:sz w:val="22"/>
              </w:rPr>
              <w:t>”</w:t>
            </w:r>
            <w:r w:rsidRPr="00612CBB">
              <w:rPr>
                <w:rFonts w:ascii="Arial" w:eastAsia="Arial" w:hAnsi="Arial" w:cs="Arial"/>
                <w:sz w:val="22"/>
              </w:rPr>
              <w:t xml:space="preserve">, el cual señala que son </w:t>
            </w:r>
            <w:r w:rsidRPr="00612CBB">
              <w:rPr>
                <w:rFonts w:ascii="Arial" w:hAnsi="Arial" w:cs="Arial"/>
                <w:sz w:val="22"/>
              </w:rPr>
              <w:t xml:space="preserve">funciones del Ministerio de Salud, hoy Ministerio de Salud y Protección Social, </w:t>
            </w:r>
            <w:r w:rsidR="00B911EA" w:rsidRPr="00612CBB">
              <w:rPr>
                <w:rFonts w:ascii="Arial" w:hAnsi="Arial" w:cs="Arial"/>
                <w:sz w:val="22"/>
              </w:rPr>
              <w:t>la expedición de las normas administrativas de obligatorio cumplimiento para las Entidades Promotoras de Salud</w:t>
            </w:r>
            <w:r w:rsidR="00B911EA" w:rsidRPr="00B911EA">
              <w:rPr>
                <w:rStyle w:val="nfasis"/>
                <w:rFonts w:ascii="Arial" w:hAnsi="Arial" w:cs="Arial"/>
                <w:i w:val="0"/>
                <w:iCs w:val="0"/>
                <w:sz w:val="22"/>
                <w:shd w:val="clear" w:color="auto" w:fill="FFFFFF"/>
              </w:rPr>
              <w:t>.</w:t>
            </w:r>
          </w:p>
          <w:p w14:paraId="436788ED" w14:textId="77777777" w:rsidR="00B911EA" w:rsidRPr="00B911EA" w:rsidRDefault="00B911EA" w:rsidP="00C31D6D">
            <w:pPr>
              <w:pStyle w:val="Prrafodelista"/>
              <w:jc w:val="both"/>
              <w:rPr>
                <w:rFonts w:ascii="Arial" w:hAnsi="Arial" w:cs="Arial"/>
                <w:sz w:val="22"/>
              </w:rPr>
            </w:pPr>
          </w:p>
          <w:p w14:paraId="6A43453C" w14:textId="43134CB6" w:rsidR="00E26A14" w:rsidRPr="00012E56" w:rsidRDefault="00C31D6D" w:rsidP="00012E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17341C">
              <w:rPr>
                <w:rFonts w:ascii="Arial" w:eastAsia="Arial" w:hAnsi="Arial" w:cs="Arial"/>
                <w:sz w:val="22"/>
              </w:rPr>
              <w:t>El numeral 3 del artículo 59 de la Ley 489 de 1998</w:t>
            </w:r>
            <w:r w:rsidR="0017341C" w:rsidRPr="0017341C">
              <w:rPr>
                <w:rFonts w:ascii="Arial" w:eastAsia="Arial" w:hAnsi="Arial" w:cs="Arial"/>
                <w:sz w:val="22"/>
              </w:rPr>
              <w:t xml:space="preserve">: </w:t>
            </w:r>
            <w:r w:rsidR="0017341C" w:rsidRPr="0017341C">
              <w:rPr>
                <w:rFonts w:ascii="Arial" w:eastAsia="Arial" w:hAnsi="Arial" w:cs="Arial"/>
                <w:i/>
                <w:iCs/>
                <w:sz w:val="22"/>
              </w:rPr>
              <w:t>“</w:t>
            </w:r>
            <w:r w:rsidR="0017341C" w:rsidRPr="0017341C">
              <w:rPr>
                <w:rFonts w:ascii="Arial" w:hAnsi="Arial" w:cs="Arial"/>
                <w:i/>
                <w:iCs/>
                <w:sz w:val="22"/>
              </w:rPr>
              <w:t>Por la cual se dictan normas sobre la organización y funcionamiento de las entidades del orden nacional, se expiden las disposiciones, principios y reglas generales para el ejercicio de las atribuciones previstas en los numerales 15 y 16 del artículo </w:t>
            </w:r>
            <w:hyperlink r:id="rId5" w:anchor="189" w:history="1">
              <w:r w:rsidR="0017341C" w:rsidRPr="0017341C">
                <w:rPr>
                  <w:rStyle w:val="Hipervnculo"/>
                  <w:rFonts w:ascii="Arial" w:hAnsi="Arial" w:cs="Arial"/>
                  <w:i/>
                  <w:iCs/>
                  <w:color w:val="auto"/>
                  <w:sz w:val="22"/>
                  <w:u w:val="none"/>
                </w:rPr>
                <w:t>189</w:t>
              </w:r>
            </w:hyperlink>
            <w:r w:rsidR="0017341C" w:rsidRPr="0017341C">
              <w:rPr>
                <w:rFonts w:ascii="Arial" w:hAnsi="Arial" w:cs="Arial"/>
                <w:i/>
                <w:iCs/>
                <w:sz w:val="22"/>
              </w:rPr>
              <w:t> de la Constitución Política y se dictan otras disposiciones</w:t>
            </w:r>
            <w:r w:rsidR="0017341C" w:rsidRPr="0017341C">
              <w:rPr>
                <w:rFonts w:ascii="Arial" w:eastAsia="Arial" w:hAnsi="Arial" w:cs="Arial"/>
                <w:i/>
                <w:iCs/>
                <w:sz w:val="22"/>
              </w:rPr>
              <w:t>”</w:t>
            </w:r>
            <w:r w:rsidR="0017341C">
              <w:rPr>
                <w:rFonts w:ascii="Arial" w:eastAsia="Arial" w:hAnsi="Arial" w:cs="Arial"/>
                <w:sz w:val="22"/>
              </w:rPr>
              <w:t xml:space="preserve">, </w:t>
            </w:r>
            <w:r w:rsidR="00012E56" w:rsidRPr="00012E56">
              <w:rPr>
                <w:rFonts w:ascii="Arial" w:hAnsi="Arial" w:cs="Arial"/>
                <w:sz w:val="22"/>
              </w:rPr>
              <w:t>d</w:t>
            </w:r>
            <w:r w:rsidR="00E26A14" w:rsidRPr="00012E56">
              <w:rPr>
                <w:rFonts w:ascii="Arial" w:hAnsi="Arial" w:cs="Arial"/>
                <w:sz w:val="22"/>
              </w:rPr>
              <w:t>e acuerdo con el cual corresponde a los ministerios y departamentos administrativos, sin perjuicio de lo dispuesto en sus actos de creación o en leyes especiales:</w:t>
            </w:r>
            <w:r w:rsidR="00012E56" w:rsidRPr="00012E56">
              <w:rPr>
                <w:rFonts w:ascii="Arial" w:hAnsi="Arial" w:cs="Arial"/>
                <w:sz w:val="22"/>
              </w:rPr>
              <w:t xml:space="preserve"> cumplir las funciones y atender los servicios que les están asignados y dictar, en desarrollo de la ley y de los decretos respectivos, las normas necesarias para tal efecto</w:t>
            </w:r>
            <w:r w:rsidR="00012E56">
              <w:rPr>
                <w:rFonts w:ascii="Arial" w:hAnsi="Arial" w:cs="Arial"/>
                <w:sz w:val="22"/>
              </w:rPr>
              <w:t>.</w:t>
            </w:r>
          </w:p>
          <w:p w14:paraId="54E47695" w14:textId="77777777" w:rsidR="00012E56" w:rsidRPr="00012E56" w:rsidRDefault="00012E56" w:rsidP="00012E56">
            <w:pPr>
              <w:pStyle w:val="Prrafodelista"/>
              <w:rPr>
                <w:rFonts w:ascii="Arial" w:hAnsi="Arial" w:cs="Arial"/>
                <w:i/>
                <w:iCs/>
                <w:sz w:val="22"/>
              </w:rPr>
            </w:pPr>
          </w:p>
          <w:p w14:paraId="7AF18E60" w14:textId="4282A491" w:rsidR="0009255C" w:rsidRPr="007E5E03" w:rsidRDefault="00DB6636" w:rsidP="00AB220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</w:rPr>
            </w:pPr>
            <w:r w:rsidRPr="00D75315">
              <w:rPr>
                <w:rFonts w:ascii="Arial" w:eastAsia="Arial" w:hAnsi="Arial" w:cs="Arial"/>
                <w:sz w:val="22"/>
              </w:rPr>
              <w:lastRenderedPageBreak/>
              <w:t>E</w:t>
            </w:r>
            <w:r w:rsidR="003515B4" w:rsidRPr="00D75315">
              <w:rPr>
                <w:rFonts w:ascii="Arial" w:eastAsia="Arial" w:hAnsi="Arial" w:cs="Arial"/>
                <w:sz w:val="22"/>
              </w:rPr>
              <w:t xml:space="preserve">l </w:t>
            </w:r>
            <w:r w:rsidR="00882E66" w:rsidRPr="00D75315">
              <w:rPr>
                <w:rFonts w:ascii="Arial" w:eastAsia="Arial" w:hAnsi="Arial" w:cs="Arial"/>
                <w:sz w:val="22"/>
              </w:rPr>
              <w:t>artículo 3 del Decreto Ley 1281 de 2002</w:t>
            </w:r>
            <w:r w:rsidR="006660D3" w:rsidRPr="00D75315">
              <w:rPr>
                <w:rFonts w:ascii="Arial" w:eastAsia="Arial" w:hAnsi="Arial" w:cs="Arial"/>
                <w:sz w:val="22"/>
              </w:rPr>
              <w:t xml:space="preserve">: </w:t>
            </w:r>
            <w:r w:rsidR="006660D3" w:rsidRPr="00D75315">
              <w:rPr>
                <w:rFonts w:ascii="Arial" w:eastAsia="Arial" w:hAnsi="Arial" w:cs="Arial"/>
                <w:i/>
                <w:iCs/>
                <w:sz w:val="22"/>
              </w:rPr>
              <w:t>“</w:t>
            </w:r>
            <w:r w:rsidR="006660D3" w:rsidRPr="00D75315">
              <w:rPr>
                <w:rFonts w:ascii="Arial" w:hAnsi="Arial" w:cs="Arial"/>
                <w:i/>
                <w:iCs/>
                <w:sz w:val="22"/>
                <w:shd w:val="clear" w:color="auto" w:fill="FFFFFF"/>
              </w:rPr>
              <w:t>Por el cual se expiden las normas que regulan los flujos de caja y la utilización oportuna y eficiente de los recursos del sector salud y su utilización en la prestació</w:t>
            </w:r>
            <w:r w:rsidR="00D75315" w:rsidRPr="00D75315">
              <w:rPr>
                <w:rFonts w:ascii="Arial" w:hAnsi="Arial" w:cs="Arial"/>
                <w:i/>
                <w:iCs/>
                <w:sz w:val="22"/>
                <w:shd w:val="clear" w:color="auto" w:fill="FFFFFF"/>
              </w:rPr>
              <w:t>n</w:t>
            </w:r>
            <w:r w:rsidR="006660D3" w:rsidRPr="00D75315">
              <w:rPr>
                <w:rFonts w:ascii="Arial" w:eastAsia="Arial" w:hAnsi="Arial" w:cs="Arial"/>
                <w:i/>
                <w:iCs/>
                <w:sz w:val="22"/>
              </w:rPr>
              <w:t>”</w:t>
            </w:r>
            <w:r w:rsidR="00882E66" w:rsidRPr="0009255C">
              <w:rPr>
                <w:rFonts w:ascii="Arial" w:eastAsia="Arial" w:hAnsi="Arial" w:cs="Arial"/>
                <w:color w:val="000000" w:themeColor="text1"/>
                <w:sz w:val="22"/>
              </w:rPr>
              <w:t xml:space="preserve">, modificado por el artículo 7 de la Ley 1949 de 2019, </w:t>
            </w:r>
            <w:r w:rsidR="00695C62" w:rsidRPr="0009255C">
              <w:rPr>
                <w:rFonts w:ascii="Arial" w:eastAsia="Arial" w:hAnsi="Arial" w:cs="Arial"/>
                <w:color w:val="000000" w:themeColor="text1"/>
                <w:sz w:val="22"/>
              </w:rPr>
              <w:t xml:space="preserve">sobre reintegro de recursos apropiados o reconocidos sin justa causa, </w:t>
            </w:r>
            <w:r w:rsidR="0009255C" w:rsidRPr="0009255C">
              <w:rPr>
                <w:rFonts w:ascii="Arial" w:eastAsia="Arial" w:hAnsi="Arial" w:cs="Arial"/>
                <w:color w:val="000000" w:themeColor="text1"/>
                <w:sz w:val="22"/>
              </w:rPr>
              <w:t>de acuerdo con el cual</w:t>
            </w:r>
            <w:r w:rsidR="007D7873">
              <w:rPr>
                <w:rFonts w:ascii="Arial" w:eastAsia="Arial" w:hAnsi="Arial" w:cs="Arial"/>
                <w:color w:val="000000" w:themeColor="text1"/>
                <w:sz w:val="22"/>
              </w:rPr>
              <w:t>, entre otros,</w:t>
            </w:r>
            <w:r w:rsidR="0009255C" w:rsidRPr="0009255C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="0009255C" w:rsidRPr="0009255C">
              <w:rPr>
                <w:rFonts w:ascii="Arial" w:hAnsi="Arial" w:cs="Arial"/>
                <w:sz w:val="22"/>
              </w:rPr>
              <w:t>c</w:t>
            </w:r>
            <w:r w:rsidR="0009255C" w:rsidRPr="0009255C">
              <w:rPr>
                <w:rFonts w:ascii="Arial" w:hAnsi="Arial" w:cs="Arial"/>
                <w:sz w:val="22"/>
                <w:shd w:val="clear" w:color="auto" w:fill="FFFFFF"/>
              </w:rPr>
              <w:t xml:space="preserve">uando la ADRES o quien haga sus veces o cualquier entidad o autoridad pública que en el ejercicio de sus competencias o actividades como participante o actor en el flujo de recursos del Sistema General de Seguridad Social en Salud, </w:t>
            </w:r>
            <w:r w:rsidR="00BF15A1">
              <w:rPr>
                <w:rFonts w:ascii="Arial" w:hAnsi="Arial" w:cs="Arial"/>
                <w:sz w:val="22"/>
                <w:shd w:val="clear" w:color="auto" w:fill="FFFFFF"/>
              </w:rPr>
              <w:t>lo cual incluye</w:t>
            </w:r>
            <w:r w:rsidR="007D7873">
              <w:rPr>
                <w:rFonts w:ascii="Arial" w:hAnsi="Arial" w:cs="Arial"/>
                <w:sz w:val="22"/>
                <w:shd w:val="clear" w:color="auto" w:fill="FFFFFF"/>
              </w:rPr>
              <w:t xml:space="preserve"> a</w:t>
            </w:r>
            <w:r w:rsidR="00BF15A1">
              <w:rPr>
                <w:rFonts w:ascii="Arial" w:hAnsi="Arial" w:cs="Arial"/>
                <w:sz w:val="22"/>
                <w:shd w:val="clear" w:color="auto" w:fill="FFFFFF"/>
              </w:rPr>
              <w:t xml:space="preserve"> la Superintendencia Nacional de Salud, </w:t>
            </w:r>
            <w:r w:rsidR="0009255C" w:rsidRPr="0009255C">
              <w:rPr>
                <w:rFonts w:ascii="Arial" w:hAnsi="Arial" w:cs="Arial"/>
                <w:sz w:val="22"/>
                <w:shd w:val="clear" w:color="auto" w:fill="FFFFFF"/>
              </w:rPr>
              <w:t>detecte que se presentó apropiación sin justa causa de los mismos, solicitará la aclaración del hallazgo a la persona involucrada, para lo cual remitirá la información pertinente, analizará la respuesta dada por la misma y, en caso de establecer que se configur</w:t>
            </w:r>
            <w:r w:rsidR="00364999">
              <w:rPr>
                <w:rFonts w:ascii="Arial" w:hAnsi="Arial" w:cs="Arial"/>
                <w:sz w:val="22"/>
                <w:shd w:val="clear" w:color="auto" w:fill="FFFFFF"/>
              </w:rPr>
              <w:t>ó</w:t>
            </w:r>
            <w:r w:rsidR="0009255C" w:rsidRPr="0009255C">
              <w:rPr>
                <w:rFonts w:ascii="Arial" w:hAnsi="Arial" w:cs="Arial"/>
                <w:sz w:val="22"/>
                <w:shd w:val="clear" w:color="auto" w:fill="FFFFFF"/>
              </w:rPr>
              <w:t xml:space="preserve"> la apropiación o reconocimiento sin justa causa de recursos, ordenará su reintegro, actualizado al </w:t>
            </w:r>
            <w:r w:rsidR="0065001A">
              <w:rPr>
                <w:rFonts w:ascii="Arial" w:hAnsi="Arial" w:cs="Arial"/>
                <w:sz w:val="22"/>
                <w:shd w:val="clear" w:color="auto" w:fill="FFFFFF"/>
              </w:rPr>
              <w:t>Í</w:t>
            </w:r>
            <w:r w:rsidR="0009255C" w:rsidRPr="0009255C">
              <w:rPr>
                <w:rFonts w:ascii="Arial" w:hAnsi="Arial" w:cs="Arial"/>
                <w:sz w:val="22"/>
                <w:shd w:val="clear" w:color="auto" w:fill="FFFFFF"/>
              </w:rPr>
              <w:t xml:space="preserve">ndice de Precios al Consumidor </w:t>
            </w:r>
            <w:r w:rsidR="00364999">
              <w:rPr>
                <w:rFonts w:ascii="Arial" w:hAnsi="Arial" w:cs="Arial"/>
                <w:sz w:val="22"/>
                <w:shd w:val="clear" w:color="auto" w:fill="FFFFFF"/>
              </w:rPr>
              <w:t>(</w:t>
            </w:r>
            <w:r w:rsidR="0009255C" w:rsidRPr="0009255C">
              <w:rPr>
                <w:rFonts w:ascii="Arial" w:hAnsi="Arial" w:cs="Arial"/>
                <w:sz w:val="22"/>
                <w:shd w:val="clear" w:color="auto" w:fill="FFFFFF"/>
              </w:rPr>
              <w:t>IPC</w:t>
            </w:r>
            <w:r w:rsidR="00364999">
              <w:rPr>
                <w:rFonts w:ascii="Arial" w:hAnsi="Arial" w:cs="Arial"/>
                <w:sz w:val="22"/>
                <w:shd w:val="clear" w:color="auto" w:fill="FFFFFF"/>
              </w:rPr>
              <w:t>)</w:t>
            </w:r>
            <w:r w:rsidR="0009255C" w:rsidRPr="0009255C">
              <w:rPr>
                <w:rFonts w:ascii="Arial" w:hAnsi="Arial" w:cs="Arial"/>
                <w:sz w:val="22"/>
                <w:shd w:val="clear" w:color="auto" w:fill="FFFFFF"/>
              </w:rPr>
              <w:t>, dentro de los plazos establecidos por e</w:t>
            </w:r>
            <w:r w:rsidR="00364999">
              <w:rPr>
                <w:rFonts w:ascii="Arial" w:hAnsi="Arial" w:cs="Arial"/>
                <w:sz w:val="22"/>
                <w:shd w:val="clear" w:color="auto" w:fill="FFFFFF"/>
              </w:rPr>
              <w:t>sta Cartera</w:t>
            </w:r>
            <w:r w:rsidR="0009255C" w:rsidRPr="0009255C">
              <w:rPr>
                <w:rFonts w:ascii="Arial" w:hAnsi="Arial" w:cs="Arial"/>
                <w:sz w:val="22"/>
                <w:shd w:val="clear" w:color="auto" w:fill="FFFFFF"/>
              </w:rPr>
              <w:t xml:space="preserve"> Ministeri</w:t>
            </w:r>
            <w:r w:rsidR="00364999">
              <w:rPr>
                <w:rFonts w:ascii="Arial" w:hAnsi="Arial" w:cs="Arial"/>
                <w:sz w:val="22"/>
                <w:shd w:val="clear" w:color="auto" w:fill="FFFFFF"/>
              </w:rPr>
              <w:t>al.</w:t>
            </w:r>
          </w:p>
          <w:p w14:paraId="2066BEAA" w14:textId="77777777" w:rsidR="007E5E03" w:rsidRPr="007E5E03" w:rsidRDefault="007E5E03" w:rsidP="007E5E03">
            <w:pPr>
              <w:pStyle w:val="Prrafodelista"/>
              <w:rPr>
                <w:rFonts w:ascii="Arial" w:eastAsia="Arial" w:hAnsi="Arial" w:cs="Arial"/>
                <w:sz w:val="22"/>
              </w:rPr>
            </w:pPr>
          </w:p>
          <w:p w14:paraId="564B413C" w14:textId="6F0F3663" w:rsidR="00882E66" w:rsidRPr="007F47E6" w:rsidRDefault="009C31D9" w:rsidP="009C31D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</w:rPr>
            </w:pPr>
            <w:r w:rsidRPr="007F47E6">
              <w:rPr>
                <w:rFonts w:ascii="Arial" w:eastAsia="Arial" w:hAnsi="Arial" w:cs="Arial"/>
                <w:sz w:val="22"/>
              </w:rPr>
              <w:t>El numeral 23 del artículo 2º del Decreto Ley 4107 de 2011</w:t>
            </w:r>
            <w:r w:rsidR="0065001A" w:rsidRPr="007F47E6">
              <w:rPr>
                <w:rFonts w:ascii="Arial" w:eastAsia="Arial" w:hAnsi="Arial" w:cs="Arial"/>
                <w:sz w:val="22"/>
              </w:rPr>
              <w:t>: “</w:t>
            </w:r>
            <w:r w:rsidR="00965569" w:rsidRPr="007F47E6">
              <w:rPr>
                <w:rFonts w:ascii="Arial" w:hAnsi="Arial" w:cs="Arial"/>
                <w:i/>
                <w:iCs/>
                <w:sz w:val="22"/>
                <w:shd w:val="clear" w:color="auto" w:fill="FFFFFF"/>
              </w:rPr>
              <w:t>Por el cual se determinan los objetivos y la estructura del Ministerio de Salud y Protección Social y se integra el Sector Administrativo de Salud y Protección Social</w:t>
            </w:r>
            <w:r w:rsidR="0065001A" w:rsidRPr="007F47E6">
              <w:rPr>
                <w:rFonts w:ascii="Arial" w:eastAsia="Arial" w:hAnsi="Arial" w:cs="Arial"/>
                <w:sz w:val="22"/>
              </w:rPr>
              <w:t>”</w:t>
            </w:r>
            <w:r w:rsidRPr="007F47E6">
              <w:rPr>
                <w:rFonts w:ascii="Arial" w:eastAsia="Arial" w:hAnsi="Arial" w:cs="Arial"/>
                <w:sz w:val="22"/>
              </w:rPr>
              <w:t xml:space="preserve">, </w:t>
            </w:r>
            <w:r w:rsidR="003569B6" w:rsidRPr="007F47E6">
              <w:rPr>
                <w:rFonts w:ascii="Arial" w:eastAsia="Arial" w:hAnsi="Arial" w:cs="Arial"/>
                <w:sz w:val="22"/>
              </w:rPr>
              <w:t>de acuerdo con el cual</w:t>
            </w:r>
            <w:r w:rsidR="00EB10CC" w:rsidRPr="007F47E6">
              <w:rPr>
                <w:rFonts w:ascii="Arial" w:eastAsia="Arial" w:hAnsi="Arial" w:cs="Arial"/>
                <w:sz w:val="22"/>
              </w:rPr>
              <w:t>, dentro de las funciones del Ministerio de Salud y Protección Social</w:t>
            </w:r>
            <w:r w:rsidR="007A43CD" w:rsidRPr="007F47E6">
              <w:rPr>
                <w:rFonts w:ascii="Arial" w:eastAsia="Arial" w:hAnsi="Arial" w:cs="Arial"/>
                <w:sz w:val="22"/>
              </w:rPr>
              <w:t>, se encuentra la relacionada con d</w:t>
            </w:r>
            <w:r w:rsidR="007A43CD" w:rsidRPr="007F47E6">
              <w:rPr>
                <w:rFonts w:ascii="Arial" w:hAnsi="Arial" w:cs="Arial"/>
                <w:sz w:val="22"/>
                <w:shd w:val="clear" w:color="auto" w:fill="FFFFFF"/>
              </w:rPr>
              <w:t>efinir y reglamentar los sistemas de información del Sistema de Protección Social que comprende afiliación, recaudo, y aportes parafiscales</w:t>
            </w:r>
            <w:r w:rsidR="007F47E6" w:rsidRPr="007F47E6">
              <w:rPr>
                <w:rFonts w:ascii="Arial" w:hAnsi="Arial" w:cs="Arial"/>
                <w:sz w:val="22"/>
                <w:shd w:val="clear" w:color="auto" w:fill="FFFFFF"/>
              </w:rPr>
              <w:t>; para ello,</w:t>
            </w:r>
            <w:r w:rsidR="007A43CD" w:rsidRPr="007F47E6"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="007F47E6" w:rsidRPr="007F47E6">
              <w:rPr>
                <w:rFonts w:ascii="Arial" w:hAnsi="Arial" w:cs="Arial"/>
                <w:sz w:val="22"/>
                <w:shd w:val="clear" w:color="auto" w:fill="FFFFFF"/>
              </w:rPr>
              <w:t>l</w:t>
            </w:r>
            <w:r w:rsidR="007A43CD" w:rsidRPr="007F47E6">
              <w:rPr>
                <w:rFonts w:ascii="Arial" w:hAnsi="Arial" w:cs="Arial"/>
                <w:sz w:val="22"/>
                <w:shd w:val="clear" w:color="auto" w:fill="FFFFFF"/>
              </w:rPr>
              <w:t>a administración de los sistemas de información de salud se hará en coordinación con el Ministerio de Hacienda y Crédito Público</w:t>
            </w:r>
            <w:r w:rsidR="007F47E6" w:rsidRPr="007F47E6">
              <w:rPr>
                <w:rFonts w:ascii="Arial" w:hAnsi="Arial" w:cs="Arial"/>
                <w:sz w:val="22"/>
                <w:shd w:val="clear" w:color="auto" w:fill="FFFFFF"/>
              </w:rPr>
              <w:t>.</w:t>
            </w:r>
          </w:p>
          <w:p w14:paraId="0C42D6BE" w14:textId="77777777" w:rsidR="00F0007E" w:rsidRPr="00F0007E" w:rsidRDefault="00F0007E" w:rsidP="00F0007E">
            <w:pPr>
              <w:pStyle w:val="Prrafodelista"/>
              <w:rPr>
                <w:rFonts w:ascii="Open Sans" w:hAnsi="Open Sans" w:cs="Open Sans"/>
                <w:color w:val="4B4949"/>
                <w:sz w:val="18"/>
                <w:szCs w:val="18"/>
              </w:rPr>
            </w:pPr>
          </w:p>
          <w:p w14:paraId="567D3E0C" w14:textId="7F9E48BB" w:rsidR="00FE1BD4" w:rsidRPr="008E08F9" w:rsidRDefault="00555CB5" w:rsidP="008E08F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8E08F9">
              <w:rPr>
                <w:rFonts w:ascii="Arial" w:hAnsi="Arial" w:cs="Arial"/>
                <w:sz w:val="22"/>
              </w:rPr>
              <w:t xml:space="preserve">Además de las normas citadas, cabe anotar que el </w:t>
            </w:r>
            <w:r w:rsidR="00D91E7F" w:rsidRPr="008E08F9">
              <w:rPr>
                <w:rFonts w:ascii="Arial" w:hAnsi="Arial" w:cs="Arial"/>
                <w:sz w:val="22"/>
              </w:rPr>
              <w:t xml:space="preserve">acto administrativo correspondiente se expide </w:t>
            </w:r>
            <w:r w:rsidR="0035510B" w:rsidRPr="008E08F9">
              <w:rPr>
                <w:rFonts w:ascii="Arial" w:eastAsia="Arial" w:hAnsi="Arial" w:cs="Arial"/>
                <w:sz w:val="22"/>
              </w:rPr>
              <w:t xml:space="preserve">en </w:t>
            </w:r>
            <w:r w:rsidR="006A0DF2" w:rsidRPr="008E08F9">
              <w:rPr>
                <w:rFonts w:ascii="Arial" w:eastAsia="Arial" w:hAnsi="Arial" w:cs="Arial"/>
                <w:sz w:val="22"/>
              </w:rPr>
              <w:t xml:space="preserve">cumplimiento del Auto del 20 de marzo de 2025 y por tanto </w:t>
            </w:r>
            <w:r w:rsidR="00E2461F" w:rsidRPr="008E08F9">
              <w:rPr>
                <w:rFonts w:ascii="Arial" w:eastAsia="Arial" w:hAnsi="Arial" w:cs="Arial"/>
                <w:sz w:val="22"/>
              </w:rPr>
              <w:t xml:space="preserve">del Auto 005 de 2024 </w:t>
            </w:r>
            <w:r w:rsidR="002E3E4B" w:rsidRPr="008E08F9">
              <w:rPr>
                <w:rFonts w:ascii="Arial" w:eastAsia="Arial" w:hAnsi="Arial" w:cs="Arial"/>
                <w:sz w:val="22"/>
              </w:rPr>
              <w:t>de seguimiento a la orden decimonovena (19) de la Sentencia T-760 de 2008</w:t>
            </w:r>
            <w:r w:rsidR="008E08F9" w:rsidRPr="008E08F9">
              <w:rPr>
                <w:rFonts w:ascii="Arial" w:eastAsia="Arial" w:hAnsi="Arial" w:cs="Arial"/>
                <w:sz w:val="22"/>
              </w:rPr>
              <w:t xml:space="preserve">, orden </w:t>
            </w:r>
            <w:r w:rsidR="0035510B" w:rsidRPr="008E08F9">
              <w:rPr>
                <w:rFonts w:ascii="Arial" w:eastAsia="Arial" w:hAnsi="Arial" w:cs="Arial"/>
                <w:iCs/>
                <w:sz w:val="22"/>
              </w:rPr>
              <w:t xml:space="preserve">que </w:t>
            </w:r>
            <w:r w:rsidR="003D4930">
              <w:rPr>
                <w:rFonts w:ascii="Arial" w:eastAsia="Arial" w:hAnsi="Arial" w:cs="Arial"/>
                <w:iCs/>
                <w:sz w:val="22"/>
              </w:rPr>
              <w:t xml:space="preserve">originalmente </w:t>
            </w:r>
            <w:r w:rsidR="0035510B" w:rsidRPr="008E08F9">
              <w:rPr>
                <w:rFonts w:ascii="Arial" w:eastAsia="Arial" w:hAnsi="Arial" w:cs="Arial"/>
                <w:iCs/>
                <w:sz w:val="22"/>
              </w:rPr>
              <w:t>establec</w:t>
            </w:r>
            <w:r w:rsidR="005B0A63">
              <w:rPr>
                <w:rFonts w:ascii="Arial" w:eastAsia="Arial" w:hAnsi="Arial" w:cs="Arial"/>
                <w:iCs/>
                <w:sz w:val="22"/>
              </w:rPr>
              <w:t>ió</w:t>
            </w:r>
            <w:r w:rsidR="0035510B" w:rsidRPr="008E08F9">
              <w:rPr>
                <w:rFonts w:ascii="Arial" w:eastAsia="Arial" w:hAnsi="Arial" w:cs="Arial"/>
                <w:iCs/>
                <w:sz w:val="22"/>
              </w:rPr>
              <w:t xml:space="preserve"> lo siguiente: </w:t>
            </w:r>
          </w:p>
          <w:p w14:paraId="1DC23C29" w14:textId="77777777" w:rsidR="00FE1BD4" w:rsidRDefault="00FE1BD4" w:rsidP="00FE1BD4">
            <w:pPr>
              <w:pStyle w:val="Prrafodelista"/>
              <w:rPr>
                <w:rFonts w:ascii="Arial" w:eastAsia="Arial" w:hAnsi="Arial" w:cs="Arial"/>
                <w:iCs/>
                <w:sz w:val="22"/>
              </w:rPr>
            </w:pPr>
          </w:p>
          <w:p w14:paraId="6D8DB623" w14:textId="5A1DDFF1" w:rsidR="00CB2152" w:rsidRPr="00CB2152" w:rsidRDefault="00CB2152" w:rsidP="005B0A63">
            <w:pPr>
              <w:ind w:left="828" w:right="114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</w:pPr>
            <w:r w:rsidRPr="00CB2152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>“</w:t>
            </w:r>
            <w:r w:rsidRPr="00CB21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CO" w:eastAsia="es-CO"/>
              </w:rPr>
              <w:t>Décimo noveno.- Ordenar</w:t>
            </w:r>
            <w:r w:rsidRPr="00CB2152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> al Ministerio de la Protección Social</w:t>
            </w:r>
            <w:r w:rsidR="005B0A63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 xml:space="preserve"> </w:t>
            </w:r>
            <w:r w:rsidRPr="00CB2152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>que adopte medidas para garantizar que todas las Entidades Promotoras de Salud habilitadas en el país envíen a la Comisión de Regulación en Salud, a la Superintendencia Nacional de Salud y a la Defensoría del Pueblo, un informe trimestral en el que se indique: (i) los servicios médicos ordenados por el médico tratante a sus usuarios que sean negados por la Entidad Promotora de Salud y que no sean tramitados por el Comité Técnico Científico</w:t>
            </w:r>
            <w:r w:rsidR="007B6057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>;</w:t>
            </w:r>
            <w:r w:rsidRPr="00CB2152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 xml:space="preserve"> (</w:t>
            </w:r>
            <w:proofErr w:type="spellStart"/>
            <w:r w:rsidRPr="00CB2152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>ii</w:t>
            </w:r>
            <w:proofErr w:type="spellEnd"/>
            <w:r w:rsidRPr="00CB2152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>) los servicios médicos ordenados por el médico tratante a sus usuarios que sean negados por el Comité Técnico Científico de cada entidad; (</w:t>
            </w:r>
            <w:proofErr w:type="spellStart"/>
            <w:r w:rsidRPr="00CB2152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>iii</w:t>
            </w:r>
            <w:proofErr w:type="spellEnd"/>
            <w:r w:rsidRPr="00CB2152">
              <w:rPr>
                <w:rFonts w:ascii="Arial" w:hAnsi="Arial" w:cs="Arial"/>
                <w:i/>
                <w:iCs/>
                <w:sz w:val="22"/>
                <w:szCs w:val="22"/>
                <w:lang w:val="es-CO" w:eastAsia="es-CO"/>
              </w:rPr>
              <w:t>) indicando en cada caso las razones de la negativa, y, en el primero, indicando además las razones por las cuáles no fue objeto de decisión por el Comité Técnico Científico.</w:t>
            </w:r>
          </w:p>
          <w:p w14:paraId="709159D8" w14:textId="77777777" w:rsidR="00CB2152" w:rsidRPr="00CB2152" w:rsidRDefault="00CB2152" w:rsidP="005B0A63">
            <w:pPr>
              <w:ind w:left="828"/>
              <w:jc w:val="both"/>
              <w:rPr>
                <w:color w:val="2D2D2D"/>
                <w:sz w:val="28"/>
                <w:szCs w:val="28"/>
                <w:lang w:val="es-CO" w:eastAsia="es-CO"/>
              </w:rPr>
            </w:pPr>
            <w:r w:rsidRPr="00CB2152">
              <w:rPr>
                <w:color w:val="2D2D2D"/>
                <w:sz w:val="28"/>
                <w:szCs w:val="28"/>
                <w:lang w:val="es-CO" w:eastAsia="es-CO"/>
              </w:rPr>
              <w:t> </w:t>
            </w:r>
          </w:p>
          <w:p w14:paraId="13309A80" w14:textId="2554A47A" w:rsidR="00CB2152" w:rsidRPr="00CB2152" w:rsidRDefault="00CB2152" w:rsidP="005B0A63">
            <w:pPr>
              <w:ind w:left="828"/>
              <w:jc w:val="both"/>
              <w:rPr>
                <w:rFonts w:ascii="Arial" w:hAnsi="Arial" w:cs="Arial"/>
                <w:i/>
                <w:iCs/>
                <w:color w:val="2D2D2D"/>
                <w:sz w:val="22"/>
                <w:szCs w:val="22"/>
                <w:lang w:val="es-CO" w:eastAsia="es-CO"/>
              </w:rPr>
            </w:pPr>
            <w:r w:rsidRPr="00CB2152">
              <w:rPr>
                <w:rFonts w:ascii="Arial" w:hAnsi="Arial" w:cs="Arial"/>
                <w:i/>
                <w:iCs/>
                <w:color w:val="2D2D2D"/>
                <w:sz w:val="22"/>
                <w:szCs w:val="22"/>
                <w:lang w:val="es-CO" w:eastAsia="es-CO"/>
              </w:rPr>
              <w:t>El primer informe deberá ser enviado el 1 de febrero de 2009. Copia del mismo deberá ser remitida a la Corte Constitucional antes de la misma fecha.</w:t>
            </w:r>
            <w:r w:rsidR="00282B8E">
              <w:rPr>
                <w:rFonts w:ascii="Arial" w:hAnsi="Arial" w:cs="Arial"/>
                <w:i/>
                <w:iCs/>
                <w:color w:val="2D2D2D"/>
                <w:sz w:val="22"/>
                <w:szCs w:val="22"/>
                <w:lang w:val="es-CO" w:eastAsia="es-CO"/>
              </w:rPr>
              <w:t>”</w:t>
            </w:r>
          </w:p>
          <w:p w14:paraId="3E57A957" w14:textId="77777777" w:rsidR="00981D94" w:rsidRPr="00981D94" w:rsidRDefault="00981D94" w:rsidP="00981D94">
            <w:pPr>
              <w:pStyle w:val="Prrafodelista"/>
              <w:jc w:val="both"/>
              <w:rPr>
                <w:rFonts w:ascii="Arial" w:hAnsi="Arial" w:cs="Arial"/>
                <w:sz w:val="22"/>
              </w:rPr>
            </w:pPr>
          </w:p>
          <w:p w14:paraId="440837CF" w14:textId="77777777" w:rsidR="00981D94" w:rsidRDefault="00981D94" w:rsidP="00981D94">
            <w:pPr>
              <w:pStyle w:val="CM31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kern w:val="28"/>
                <w:sz w:val="22"/>
                <w:szCs w:val="22"/>
                <w:lang w:val="es-ES_tradnl" w:eastAsia="es-ES"/>
              </w:rPr>
            </w:pPr>
            <w:r w:rsidRPr="00981D94">
              <w:rPr>
                <w:rFonts w:eastAsia="Times New Roman"/>
                <w:b/>
                <w:kern w:val="28"/>
                <w:sz w:val="22"/>
                <w:szCs w:val="22"/>
                <w:lang w:val="es-ES_tradnl" w:eastAsia="es-ES"/>
              </w:rPr>
              <w:t>Identifique el destinario de la norma (¿A quién se aplica?)</w:t>
            </w:r>
          </w:p>
          <w:p w14:paraId="0A51EBCD" w14:textId="77777777" w:rsidR="007B4D7A" w:rsidRDefault="007B4D7A" w:rsidP="007B4D7A"/>
          <w:p w14:paraId="40860605" w14:textId="77777777" w:rsidR="006F6C33" w:rsidRPr="006F6C33" w:rsidRDefault="007B4D7A" w:rsidP="006F6C33">
            <w:pPr>
              <w:ind w:right="-2"/>
              <w:jc w:val="both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s"/>
              </w:rPr>
            </w:pPr>
            <w:r w:rsidRPr="006F6C33">
              <w:rPr>
                <w:rFonts w:ascii="Arial" w:hAnsi="Arial" w:cs="Arial"/>
                <w:sz w:val="22"/>
                <w:szCs w:val="22"/>
              </w:rPr>
              <w:t xml:space="preserve">El acto administrativo </w:t>
            </w:r>
            <w:r w:rsidR="00A12E2E" w:rsidRPr="006F6C33">
              <w:rPr>
                <w:rFonts w:ascii="Arial" w:hAnsi="Arial" w:cs="Arial"/>
                <w:sz w:val="22"/>
                <w:szCs w:val="22"/>
              </w:rPr>
              <w:t xml:space="preserve">va dirigido a </w:t>
            </w:r>
            <w:r w:rsidR="006F6C33" w:rsidRPr="006F6C33">
              <w:rPr>
                <w:rFonts w:ascii="Arial" w:eastAsia="Arial" w:hAnsi="Arial" w:cs="Arial"/>
                <w:sz w:val="22"/>
                <w:szCs w:val="22"/>
              </w:rPr>
              <w:t xml:space="preserve">las entidades territoriales departamentales y distritales, las Entidades Administradoras de Planes de Beneficios (EAPB) responsables </w:t>
            </w:r>
            <w:r w:rsidR="006F6C33" w:rsidRPr="006F6C3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del aseguramiento en salud de los Regímenes Contributivo y Subsidiado, la Superintendencia Nacional de Salud y la Administradora de ​los Recursos del Sistema General de Seguridad Social en Salud (ADRES). </w:t>
            </w:r>
          </w:p>
          <w:p w14:paraId="54B828D0" w14:textId="77777777" w:rsidR="00981D94" w:rsidRPr="00981D94" w:rsidRDefault="00981D94" w:rsidP="00747D0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5508B950" w14:textId="77777777" w:rsidR="005560EF" w:rsidRDefault="005560EF" w:rsidP="00981D94"/>
    <w:sectPr w:rsidR="005560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Arial"/>
    <w:charset w:val="B1"/>
    <w:family w:val="swiss"/>
    <w:pitch w:val="variable"/>
    <w:sig w:usb0="80000067" w:usb1="00000000" w:usb2="00000000" w:usb3="00000000" w:csb0="000001F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832"/>
    <w:multiLevelType w:val="hybridMultilevel"/>
    <w:tmpl w:val="8BA84FE8"/>
    <w:lvl w:ilvl="0" w:tplc="F81621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0165"/>
    <w:multiLevelType w:val="hybridMultilevel"/>
    <w:tmpl w:val="24E4C774"/>
    <w:lvl w:ilvl="0" w:tplc="F03E3C5C">
      <w:start w:val="1"/>
      <w:numFmt w:val="lowerLetter"/>
      <w:lvlText w:val="%1)"/>
      <w:lvlJc w:val="left"/>
      <w:pPr>
        <w:ind w:left="696" w:hanging="360"/>
      </w:pPr>
    </w:lvl>
    <w:lvl w:ilvl="1" w:tplc="240A0019">
      <w:start w:val="1"/>
      <w:numFmt w:val="lowerLetter"/>
      <w:lvlText w:val="%2."/>
      <w:lvlJc w:val="left"/>
      <w:pPr>
        <w:ind w:left="1416" w:hanging="360"/>
      </w:pPr>
    </w:lvl>
    <w:lvl w:ilvl="2" w:tplc="240A001B">
      <w:start w:val="1"/>
      <w:numFmt w:val="lowerRoman"/>
      <w:lvlText w:val="%3."/>
      <w:lvlJc w:val="right"/>
      <w:pPr>
        <w:ind w:left="2136" w:hanging="180"/>
      </w:pPr>
    </w:lvl>
    <w:lvl w:ilvl="3" w:tplc="240A000F">
      <w:start w:val="1"/>
      <w:numFmt w:val="decimal"/>
      <w:lvlText w:val="%4."/>
      <w:lvlJc w:val="left"/>
      <w:pPr>
        <w:ind w:left="2856" w:hanging="360"/>
      </w:pPr>
    </w:lvl>
    <w:lvl w:ilvl="4" w:tplc="240A0019">
      <w:start w:val="1"/>
      <w:numFmt w:val="lowerLetter"/>
      <w:lvlText w:val="%5."/>
      <w:lvlJc w:val="left"/>
      <w:pPr>
        <w:ind w:left="3576" w:hanging="360"/>
      </w:pPr>
    </w:lvl>
    <w:lvl w:ilvl="5" w:tplc="240A001B">
      <w:start w:val="1"/>
      <w:numFmt w:val="lowerRoman"/>
      <w:lvlText w:val="%6."/>
      <w:lvlJc w:val="right"/>
      <w:pPr>
        <w:ind w:left="4296" w:hanging="180"/>
      </w:pPr>
    </w:lvl>
    <w:lvl w:ilvl="6" w:tplc="240A000F">
      <w:start w:val="1"/>
      <w:numFmt w:val="decimal"/>
      <w:lvlText w:val="%7."/>
      <w:lvlJc w:val="left"/>
      <w:pPr>
        <w:ind w:left="5016" w:hanging="360"/>
      </w:pPr>
    </w:lvl>
    <w:lvl w:ilvl="7" w:tplc="240A0019">
      <w:start w:val="1"/>
      <w:numFmt w:val="lowerLetter"/>
      <w:lvlText w:val="%8."/>
      <w:lvlJc w:val="left"/>
      <w:pPr>
        <w:ind w:left="5736" w:hanging="360"/>
      </w:pPr>
    </w:lvl>
    <w:lvl w:ilvl="8" w:tplc="240A001B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4FE964D8"/>
    <w:multiLevelType w:val="hybridMultilevel"/>
    <w:tmpl w:val="714A8656"/>
    <w:lvl w:ilvl="0" w:tplc="7338B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842F4"/>
    <w:multiLevelType w:val="hybridMultilevel"/>
    <w:tmpl w:val="05420276"/>
    <w:lvl w:ilvl="0" w:tplc="AA0C3470">
      <w:start w:val="1"/>
      <w:numFmt w:val="decimal"/>
      <w:lvlText w:val="%1."/>
      <w:lvlJc w:val="left"/>
      <w:pPr>
        <w:ind w:left="336" w:hanging="360"/>
      </w:pPr>
      <w:rPr>
        <w:b/>
        <w:i w:val="0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056" w:hanging="360"/>
      </w:pPr>
    </w:lvl>
    <w:lvl w:ilvl="2" w:tplc="240A001B">
      <w:start w:val="1"/>
      <w:numFmt w:val="lowerRoman"/>
      <w:lvlText w:val="%3."/>
      <w:lvlJc w:val="right"/>
      <w:pPr>
        <w:ind w:left="1776" w:hanging="180"/>
      </w:pPr>
    </w:lvl>
    <w:lvl w:ilvl="3" w:tplc="240A000F">
      <w:start w:val="1"/>
      <w:numFmt w:val="decimal"/>
      <w:lvlText w:val="%4."/>
      <w:lvlJc w:val="left"/>
      <w:pPr>
        <w:ind w:left="2496" w:hanging="360"/>
      </w:pPr>
    </w:lvl>
    <w:lvl w:ilvl="4" w:tplc="240A0019">
      <w:start w:val="1"/>
      <w:numFmt w:val="lowerLetter"/>
      <w:lvlText w:val="%5."/>
      <w:lvlJc w:val="left"/>
      <w:pPr>
        <w:ind w:left="3216" w:hanging="360"/>
      </w:pPr>
    </w:lvl>
    <w:lvl w:ilvl="5" w:tplc="240A001B">
      <w:start w:val="1"/>
      <w:numFmt w:val="lowerRoman"/>
      <w:lvlText w:val="%6."/>
      <w:lvlJc w:val="right"/>
      <w:pPr>
        <w:ind w:left="3936" w:hanging="180"/>
      </w:pPr>
    </w:lvl>
    <w:lvl w:ilvl="6" w:tplc="240A000F">
      <w:start w:val="1"/>
      <w:numFmt w:val="decimal"/>
      <w:lvlText w:val="%7."/>
      <w:lvlJc w:val="left"/>
      <w:pPr>
        <w:ind w:left="4656" w:hanging="360"/>
      </w:pPr>
    </w:lvl>
    <w:lvl w:ilvl="7" w:tplc="240A0019">
      <w:start w:val="1"/>
      <w:numFmt w:val="lowerLetter"/>
      <w:lvlText w:val="%8."/>
      <w:lvlJc w:val="left"/>
      <w:pPr>
        <w:ind w:left="5376" w:hanging="360"/>
      </w:pPr>
    </w:lvl>
    <w:lvl w:ilvl="8" w:tplc="240A001B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7D2259AF"/>
    <w:multiLevelType w:val="hybridMultilevel"/>
    <w:tmpl w:val="A2041C64"/>
    <w:lvl w:ilvl="0" w:tplc="849A92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94"/>
    <w:rsid w:val="00012E56"/>
    <w:rsid w:val="00040D3B"/>
    <w:rsid w:val="0009255C"/>
    <w:rsid w:val="000A7A02"/>
    <w:rsid w:val="000C65FC"/>
    <w:rsid w:val="000D75C8"/>
    <w:rsid w:val="00145D9E"/>
    <w:rsid w:val="001673DF"/>
    <w:rsid w:val="0017341C"/>
    <w:rsid w:val="00174E75"/>
    <w:rsid w:val="00175B7A"/>
    <w:rsid w:val="00184F4B"/>
    <w:rsid w:val="001C27FB"/>
    <w:rsid w:val="001F0FF1"/>
    <w:rsid w:val="00245EF1"/>
    <w:rsid w:val="00282B8E"/>
    <w:rsid w:val="002A26A3"/>
    <w:rsid w:val="002D1B60"/>
    <w:rsid w:val="002D4BD0"/>
    <w:rsid w:val="002E3E4B"/>
    <w:rsid w:val="0031514C"/>
    <w:rsid w:val="00337109"/>
    <w:rsid w:val="003505CB"/>
    <w:rsid w:val="003515B4"/>
    <w:rsid w:val="0035510B"/>
    <w:rsid w:val="003569B6"/>
    <w:rsid w:val="00364999"/>
    <w:rsid w:val="003A6902"/>
    <w:rsid w:val="003C157F"/>
    <w:rsid w:val="003D4930"/>
    <w:rsid w:val="0042259A"/>
    <w:rsid w:val="00430D6F"/>
    <w:rsid w:val="004430C3"/>
    <w:rsid w:val="00445271"/>
    <w:rsid w:val="004D4051"/>
    <w:rsid w:val="004D76BC"/>
    <w:rsid w:val="004F67B8"/>
    <w:rsid w:val="00520F3C"/>
    <w:rsid w:val="005478B1"/>
    <w:rsid w:val="00555CB5"/>
    <w:rsid w:val="005560EF"/>
    <w:rsid w:val="00562E6F"/>
    <w:rsid w:val="00595AEE"/>
    <w:rsid w:val="005A49C4"/>
    <w:rsid w:val="005B0A63"/>
    <w:rsid w:val="006121A9"/>
    <w:rsid w:val="00612CBB"/>
    <w:rsid w:val="0065001A"/>
    <w:rsid w:val="006660D3"/>
    <w:rsid w:val="00695C62"/>
    <w:rsid w:val="006A0DF2"/>
    <w:rsid w:val="006B27E3"/>
    <w:rsid w:val="006F6C33"/>
    <w:rsid w:val="00744D7B"/>
    <w:rsid w:val="00747D0C"/>
    <w:rsid w:val="00750018"/>
    <w:rsid w:val="00752101"/>
    <w:rsid w:val="007602F0"/>
    <w:rsid w:val="007612BE"/>
    <w:rsid w:val="00792714"/>
    <w:rsid w:val="007A43CD"/>
    <w:rsid w:val="007B4D7A"/>
    <w:rsid w:val="007B6057"/>
    <w:rsid w:val="007D7873"/>
    <w:rsid w:val="007E5E03"/>
    <w:rsid w:val="007F47E6"/>
    <w:rsid w:val="008539E9"/>
    <w:rsid w:val="00882E66"/>
    <w:rsid w:val="008C388F"/>
    <w:rsid w:val="008E08F9"/>
    <w:rsid w:val="0092381B"/>
    <w:rsid w:val="0094150F"/>
    <w:rsid w:val="00965569"/>
    <w:rsid w:val="00981D94"/>
    <w:rsid w:val="00993D0B"/>
    <w:rsid w:val="009C31D9"/>
    <w:rsid w:val="009D0352"/>
    <w:rsid w:val="00A0296D"/>
    <w:rsid w:val="00A068F8"/>
    <w:rsid w:val="00A12E2E"/>
    <w:rsid w:val="00A94941"/>
    <w:rsid w:val="00AA031A"/>
    <w:rsid w:val="00B911EA"/>
    <w:rsid w:val="00B96A49"/>
    <w:rsid w:val="00BD1A48"/>
    <w:rsid w:val="00BF15A1"/>
    <w:rsid w:val="00C31D6D"/>
    <w:rsid w:val="00C33ABB"/>
    <w:rsid w:val="00C550F4"/>
    <w:rsid w:val="00C716C9"/>
    <w:rsid w:val="00C92B15"/>
    <w:rsid w:val="00CB2152"/>
    <w:rsid w:val="00CE575C"/>
    <w:rsid w:val="00D059F2"/>
    <w:rsid w:val="00D452B5"/>
    <w:rsid w:val="00D66056"/>
    <w:rsid w:val="00D75315"/>
    <w:rsid w:val="00D91E7F"/>
    <w:rsid w:val="00DB6636"/>
    <w:rsid w:val="00DE6C26"/>
    <w:rsid w:val="00E20071"/>
    <w:rsid w:val="00E2461F"/>
    <w:rsid w:val="00E26A14"/>
    <w:rsid w:val="00E27E7B"/>
    <w:rsid w:val="00EA3481"/>
    <w:rsid w:val="00EB10CC"/>
    <w:rsid w:val="00F0007E"/>
    <w:rsid w:val="00F15378"/>
    <w:rsid w:val="00F439BC"/>
    <w:rsid w:val="00F6456E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57D4"/>
  <w15:chartTrackingRefBased/>
  <w15:docId w15:val="{A35E9916-5C63-495E-9F0E-FB501CF1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D94"/>
    <w:pPr>
      <w:spacing w:before="100" w:beforeAutospacing="1" w:after="100" w:afterAutospacing="1"/>
    </w:pPr>
    <w:rPr>
      <w:szCs w:val="24"/>
      <w:lang w:val="es-ES"/>
    </w:rPr>
  </w:style>
  <w:style w:type="character" w:customStyle="1" w:styleId="PrrafodelistaCar">
    <w:name w:val="Párrafo de lista Car"/>
    <w:aliases w:val="Segundo nivel de viñetas Car,List Paragraph1 Car,Párrafo de lista1 Car,Bullets Car,titulo 3 Car,List Paragraph Car,Bolita Car,lista Car,EITI list Car,Ha Car,Lista vistosa - Énfasis 11 Car,Párrafo de lista2 Car"/>
    <w:link w:val="Prrafodelista"/>
    <w:uiPriority w:val="34"/>
    <w:locked/>
    <w:rsid w:val="00981D94"/>
    <w:rPr>
      <w:rFonts w:ascii="Times New Roman" w:eastAsia="Times New Roman" w:hAnsi="Times New Roman" w:cs="Times New Roman"/>
      <w:sz w:val="24"/>
      <w:lang w:val="es-ES_tradnl" w:eastAsia="es-ES"/>
    </w:rPr>
  </w:style>
  <w:style w:type="paragraph" w:styleId="Prrafodelista">
    <w:name w:val="List Paragraph"/>
    <w:aliases w:val="Segundo nivel de viñetas,List Paragraph1,Párrafo de lista1,Bullets,titulo 3,List Paragraph,Bolita,lista,EITI list,Ha,Lista vistosa - Énfasis 11,Párrafo de lista2"/>
    <w:basedOn w:val="Normal"/>
    <w:link w:val="PrrafodelistaCar"/>
    <w:uiPriority w:val="34"/>
    <w:qFormat/>
    <w:rsid w:val="00981D94"/>
    <w:pPr>
      <w:ind w:left="720"/>
      <w:contextualSpacing/>
    </w:pPr>
    <w:rPr>
      <w:szCs w:val="22"/>
    </w:rPr>
  </w:style>
  <w:style w:type="paragraph" w:customStyle="1" w:styleId="CM31">
    <w:name w:val="CM31"/>
    <w:basedOn w:val="Normal"/>
    <w:next w:val="Normal"/>
    <w:uiPriority w:val="99"/>
    <w:rsid w:val="00981D94"/>
    <w:pPr>
      <w:autoSpaceDE w:val="0"/>
      <w:autoSpaceDN w:val="0"/>
      <w:adjustRightInd w:val="0"/>
    </w:pPr>
    <w:rPr>
      <w:rFonts w:ascii="Arial" w:eastAsia="Calibri" w:hAnsi="Arial" w:cs="Arial"/>
      <w:szCs w:val="24"/>
      <w:lang w:val="es-CO" w:eastAsia="es-CO"/>
    </w:rPr>
  </w:style>
  <w:style w:type="paragraph" w:customStyle="1" w:styleId="CONPESTexto">
    <w:name w:val="CONPES Texto"/>
    <w:basedOn w:val="Normal"/>
    <w:uiPriority w:val="99"/>
    <w:qFormat/>
    <w:rsid w:val="00981D94"/>
    <w:pPr>
      <w:spacing w:before="120" w:after="120" w:line="276" w:lineRule="auto"/>
      <w:ind w:firstLine="567"/>
      <w:jc w:val="both"/>
    </w:pPr>
    <w:rPr>
      <w:rFonts w:ascii="Futura Std Book" w:eastAsia="Calibri" w:hAnsi="Futura Std Book"/>
      <w:color w:val="000000"/>
      <w:sz w:val="22"/>
      <w:szCs w:val="24"/>
      <w:lang w:val="es-CO" w:eastAsia="en-US"/>
    </w:rPr>
  </w:style>
  <w:style w:type="character" w:customStyle="1" w:styleId="Textosinformato1Car">
    <w:name w:val="Texto sin formato1 Car"/>
    <w:link w:val="Textosinformato1"/>
    <w:locked/>
    <w:rsid w:val="00981D94"/>
    <w:rPr>
      <w:rFonts w:ascii="Courier New" w:eastAsia="Times New Roman" w:hAnsi="Courier New" w:cs="Courier New"/>
      <w:lang w:eastAsia="es-ES"/>
    </w:rPr>
  </w:style>
  <w:style w:type="paragraph" w:customStyle="1" w:styleId="Textosinformato1">
    <w:name w:val="Texto sin formato1"/>
    <w:basedOn w:val="Normal"/>
    <w:link w:val="Textosinformato1Car"/>
    <w:rsid w:val="00981D94"/>
    <w:pPr>
      <w:overflowPunct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val="es-CO"/>
    </w:rPr>
  </w:style>
  <w:style w:type="character" w:customStyle="1" w:styleId="DefaultChar">
    <w:name w:val="Default Char"/>
    <w:link w:val="Default"/>
    <w:locked/>
    <w:rsid w:val="00981D94"/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Default">
    <w:name w:val="Default"/>
    <w:link w:val="DefaultChar"/>
    <w:rsid w:val="00981D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81D94"/>
    <w:rPr>
      <w:color w:val="0000FF"/>
      <w:u w:val="single"/>
    </w:rPr>
  </w:style>
  <w:style w:type="character" w:customStyle="1" w:styleId="baj">
    <w:name w:val="b_aj"/>
    <w:basedOn w:val="Fuentedeprrafopredeter"/>
    <w:rsid w:val="000D75C8"/>
  </w:style>
  <w:style w:type="paragraph" w:customStyle="1" w:styleId="bordeespecial">
    <w:name w:val="borde_especial"/>
    <w:basedOn w:val="Normal"/>
    <w:rsid w:val="000D75C8"/>
    <w:pPr>
      <w:spacing w:before="100" w:beforeAutospacing="1" w:after="100" w:afterAutospacing="1"/>
    </w:pPr>
    <w:rPr>
      <w:szCs w:val="24"/>
      <w:lang w:val="es-CO" w:eastAsia="es-CO"/>
    </w:rPr>
  </w:style>
  <w:style w:type="paragraph" w:styleId="Textoindependiente">
    <w:name w:val="Body Text"/>
    <w:aliases w:val="body text"/>
    <w:basedOn w:val="Normal"/>
    <w:link w:val="TextoindependienteCar"/>
    <w:rsid w:val="003C157F"/>
    <w:pPr>
      <w:jc w:val="both"/>
    </w:pPr>
    <w:rPr>
      <w:sz w:val="20"/>
    </w:rPr>
  </w:style>
  <w:style w:type="character" w:customStyle="1" w:styleId="TextoindependienteCar">
    <w:name w:val="Texto independiente Car"/>
    <w:aliases w:val="body text Car"/>
    <w:basedOn w:val="Fuentedeprrafopredeter"/>
    <w:link w:val="Textoindependiente"/>
    <w:rsid w:val="003C15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157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B911EA"/>
    <w:rPr>
      <w:i/>
      <w:iCs/>
    </w:rPr>
  </w:style>
  <w:style w:type="character" w:styleId="Textoennegrita">
    <w:name w:val="Strong"/>
    <w:basedOn w:val="Fuentedeprrafopredeter"/>
    <w:uiPriority w:val="22"/>
    <w:qFormat/>
    <w:rsid w:val="00FE1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cretariasenado.gov.co/senado/basedoc/constitucion_politica_1991_pr006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CC2816C67244E964CFEC014928D6D" ma:contentTypeVersion="0" ma:contentTypeDescription="Create a new document." ma:contentTypeScope="" ma:versionID="ace711c85092a840f907f32fd22e55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BA380-0196-41BD-BE89-001E79B8A495}"/>
</file>

<file path=customXml/itemProps2.xml><?xml version="1.0" encoding="utf-8"?>
<ds:datastoreItem xmlns:ds="http://schemas.openxmlformats.org/officeDocument/2006/customXml" ds:itemID="{9ADCEED2-7C4A-4F39-9EC7-E7F7BA72631D}"/>
</file>

<file path=customXml/itemProps3.xml><?xml version="1.0" encoding="utf-8"?>
<ds:datastoreItem xmlns:ds="http://schemas.openxmlformats.org/officeDocument/2006/customXml" ds:itemID="{56A5B094-F45D-4CCC-9B0E-403B3CEE4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1372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Andres Peña Valderrama</dc:creator>
  <cp:keywords/>
  <dc:description/>
  <cp:lastModifiedBy>Camilo Andres Peña Valderrama</cp:lastModifiedBy>
  <cp:revision>23</cp:revision>
  <dcterms:created xsi:type="dcterms:W3CDTF">2025-03-28T01:05:00Z</dcterms:created>
  <dcterms:modified xsi:type="dcterms:W3CDTF">2025-03-28T17:51:00Z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0x0101000A1CC2816C67244E964CFEC014928D6D</vt:lpwstr>
  </property>
</Properties>
</file>